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k0000932695-20251231.htm"/>
        <w:bookmarkStart w:id="1" w:name="ksck000093269520251231"/>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spacing w:before="40" w:after="283"/>
        <w:jc w:val="center"/>
        <w:rPr/>
      </w:pPr>
      <w:bookmarkStart w:id="2" w:name="mypage"/>
      <w:bookmarkEnd w:id="2"/>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80" w:after="283"/>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20-F</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7"/>
        <w:gridCol w:w="9298"/>
      </w:tblGrid>
      <w:tr>
        <w:trPr/>
        <w:tc>
          <w:tcPr>
            <w:tcW w:w="907"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907" w:type="dxa"/>
            <w:tcBorders/>
            <w:tcMar>
              <w:top w:w="0" w:type="dxa"/>
              <w:left w:w="0" w:type="dxa"/>
              <w:bottom w:w="0" w:type="dxa"/>
              <w:right w:w="0" w:type="dxa"/>
            </w:tcMar>
            <w:vAlign w:val="center"/>
          </w:tcPr>
          <w:p>
            <w:pPr>
              <w:pStyle w:val="TableContents"/>
              <w:bidi w:val="0"/>
              <w:spacing w:before="0" w:after="283"/>
              <w:ind w:left="0" w:right="0" w:firstLine="576"/>
              <w:jc w:val="right"/>
              <w:rPr>
                <w:color w:val="000000"/>
              </w:rPr>
            </w:pPr>
            <w:r>
              <w:rPr>
                <w:color w:val="000000"/>
              </w:rPr>
              <w:t>☐</w:t>
            </w:r>
          </w:p>
        </w:tc>
        <w:tc>
          <w:tcPr>
            <w:tcW w:w="9298" w:type="dxa"/>
            <w:tcBorders/>
            <w:tcMar>
              <w:top w:w="0" w:type="dxa"/>
              <w:left w:w="0" w:type="dxa"/>
              <w:bottom w:w="0" w:type="dxa"/>
              <w:right w:w="0" w:type="dxa"/>
            </w:tcMar>
            <w:vAlign w:val="center"/>
          </w:tcPr>
          <w:p>
            <w:pPr>
              <w:pStyle w:val="TableContents"/>
              <w:bidi w:val="0"/>
              <w:spacing w:before="20" w:after="283"/>
              <w:ind w:left="0" w:right="0" w:firstLine="576"/>
              <w:jc w:val="left"/>
              <w:rPr>
                <w:rFonts w:ascii="Times New Roman" w:hAnsi="Times New Roman"/>
                <w:sz w:val="20"/>
              </w:rPr>
            </w:pPr>
            <w:r>
              <w:rPr>
                <w:rFonts w:ascii="Times New Roman" w:hAnsi="Times New Roman"/>
                <w:b/>
                <w:color w:val="000000"/>
                <w:sz w:val="20"/>
              </w:rPr>
              <w:t>REGISTRATION STATEMENT PURSUANT TO SECTION 12(b) OR (g) OF THE SECURITIES EXCHANGE ACT OF 1934</w:t>
            </w:r>
            <w:r>
              <w:rPr>
                <w:rFonts w:ascii="Times New Roman" w:hAnsi="Times New Roman"/>
                <w:color w:val="000000"/>
                <w:sz w:val="20"/>
              </w:rPr>
              <w:t xml:space="preserve">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7"/>
        <w:gridCol w:w="9298"/>
      </w:tblGrid>
      <w:tr>
        <w:trPr/>
        <w:tc>
          <w:tcPr>
            <w:tcW w:w="907"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907" w:type="dxa"/>
            <w:tcBorders/>
            <w:tcMar>
              <w:top w:w="0" w:type="dxa"/>
              <w:left w:w="0" w:type="dxa"/>
              <w:bottom w:w="0" w:type="dxa"/>
              <w:right w:w="0" w:type="dxa"/>
            </w:tcMar>
            <w:vAlign w:val="center"/>
          </w:tcPr>
          <w:p>
            <w:pPr>
              <w:pStyle w:val="TableContents"/>
              <w:bidi w:val="0"/>
              <w:spacing w:before="0" w:after="283"/>
              <w:ind w:left="0" w:right="0" w:firstLine="576"/>
              <w:jc w:val="right"/>
              <w:rPr>
                <w:color w:val="000000"/>
              </w:rPr>
            </w:pPr>
            <w:r>
              <w:rPr>
                <w:color w:val="000000"/>
              </w:rPr>
              <w:t>☒</w:t>
            </w:r>
          </w:p>
        </w:tc>
        <w:tc>
          <w:tcPr>
            <w:tcW w:w="9298" w:type="dxa"/>
            <w:tcBorders/>
            <w:tcMar>
              <w:top w:w="0" w:type="dxa"/>
              <w:left w:w="0" w:type="dxa"/>
              <w:bottom w:w="0" w:type="dxa"/>
              <w:right w:w="0" w:type="dxa"/>
            </w:tcMar>
            <w:vAlign w:val="center"/>
          </w:tcPr>
          <w:p>
            <w:pPr>
              <w:pStyle w:val="TableContents"/>
              <w:bidi w:val="0"/>
              <w:spacing w:before="20" w:after="283"/>
              <w:ind w:left="0" w:right="0" w:firstLine="576"/>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7"/>
        <w:gridCol w:w="9298"/>
      </w:tblGrid>
      <w:tr>
        <w:trPr/>
        <w:tc>
          <w:tcPr>
            <w:tcW w:w="907"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907" w:type="dxa"/>
            <w:tcBorders/>
            <w:tcMar>
              <w:top w:w="0" w:type="dxa"/>
              <w:left w:w="0" w:type="dxa"/>
              <w:bottom w:w="0" w:type="dxa"/>
              <w:right w:w="0" w:type="dxa"/>
            </w:tcMar>
            <w:vAlign w:val="center"/>
          </w:tcPr>
          <w:p>
            <w:pPr>
              <w:pStyle w:val="TableContents"/>
              <w:bidi w:val="0"/>
              <w:spacing w:before="0" w:after="283"/>
              <w:ind w:left="0" w:right="0" w:firstLine="576"/>
              <w:jc w:val="right"/>
              <w:rPr>
                <w:color w:val="000000"/>
              </w:rPr>
            </w:pPr>
            <w:r>
              <w:rPr>
                <w:color w:val="000000"/>
              </w:rPr>
              <w:t>☐</w:t>
            </w:r>
          </w:p>
        </w:tc>
        <w:tc>
          <w:tcPr>
            <w:tcW w:w="9298" w:type="dxa"/>
            <w:tcBorders/>
            <w:tcMar>
              <w:top w:w="0" w:type="dxa"/>
              <w:left w:w="0" w:type="dxa"/>
              <w:bottom w:w="0" w:type="dxa"/>
              <w:right w:w="0" w:type="dxa"/>
            </w:tcMar>
            <w:vAlign w:val="center"/>
          </w:tcPr>
          <w:p>
            <w:pPr>
              <w:pStyle w:val="TableContents"/>
              <w:bidi w:val="0"/>
              <w:spacing w:before="20" w:after="283"/>
              <w:ind w:left="0" w:right="0" w:firstLine="576"/>
              <w:jc w:val="left"/>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7"/>
        <w:gridCol w:w="9298"/>
      </w:tblGrid>
      <w:tr>
        <w:trPr/>
        <w:tc>
          <w:tcPr>
            <w:tcW w:w="907"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907" w:type="dxa"/>
            <w:tcBorders/>
            <w:tcMar>
              <w:top w:w="0" w:type="dxa"/>
              <w:left w:w="0" w:type="dxa"/>
              <w:bottom w:w="0" w:type="dxa"/>
              <w:right w:w="0" w:type="dxa"/>
            </w:tcMar>
            <w:vAlign w:val="center"/>
          </w:tcPr>
          <w:p>
            <w:pPr>
              <w:pStyle w:val="TableContents"/>
              <w:bidi w:val="0"/>
              <w:spacing w:before="0" w:after="283"/>
              <w:ind w:left="0" w:right="0" w:firstLine="576"/>
              <w:jc w:val="right"/>
              <w:rPr>
                <w:color w:val="000000"/>
              </w:rPr>
            </w:pPr>
            <w:r>
              <w:rPr>
                <w:color w:val="000000"/>
              </w:rPr>
              <w:t>☐</w:t>
            </w:r>
          </w:p>
        </w:tc>
        <w:tc>
          <w:tcPr>
            <w:tcW w:w="9298" w:type="dxa"/>
            <w:tcBorders/>
            <w:tcMar>
              <w:top w:w="0" w:type="dxa"/>
              <w:left w:w="0" w:type="dxa"/>
              <w:bottom w:w="0" w:type="dxa"/>
              <w:right w:w="0" w:type="dxa"/>
            </w:tcMar>
            <w:vAlign w:val="center"/>
          </w:tcPr>
          <w:p>
            <w:pPr>
              <w:pStyle w:val="TableContents"/>
              <w:bidi w:val="0"/>
              <w:spacing w:before="20" w:after="283"/>
              <w:ind w:left="0" w:right="0" w:firstLine="576"/>
              <w:jc w:val="both"/>
              <w:rPr>
                <w:rFonts w:ascii="Times New Roman" w:hAnsi="Times New Roman"/>
                <w:sz w:val="20"/>
              </w:rPr>
            </w:pPr>
            <w:r>
              <w:rPr>
                <w:rFonts w:ascii="Times New Roman" w:hAnsi="Times New Roman"/>
                <w:b/>
                <w:color w:val="000000"/>
                <w:sz w:val="20"/>
              </w:rPr>
              <w:t>SHELL COMPANY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Date of event requiring this shell company report</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1-13522</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China Yuchai International Limited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5147" w:type="dxa"/>
        <w:jc w:val="left"/>
        <w:tblInd w:w="0" w:type="dxa"/>
        <w:tblLayout w:type="fixed"/>
        <w:tblCellMar>
          <w:top w:w="28" w:type="dxa"/>
          <w:left w:w="28" w:type="dxa"/>
          <w:bottom w:w="28" w:type="dxa"/>
          <w:right w:w="28" w:type="dxa"/>
        </w:tblCellMar>
      </w:tblPr>
      <w:tblGrid>
        <w:gridCol w:w="2611"/>
        <w:gridCol w:w="2536"/>
      </w:tblGrid>
      <w:tr>
        <w:trPr/>
        <w:tc>
          <w:tcPr>
            <w:tcW w:w="261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(Translation of Registrant’s Name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Into English)</w:t>
            </w:r>
          </w:p>
        </w:tc>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(Jurisdiction of Incorporation or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Organization)</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16 Raffles Quay #39-01A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Singapore</w:t>
      </w:r>
      <w:r>
        <w:rPr>
          <w:rFonts w:ascii="Times New Roman" w:hAnsi="Times New Roman"/>
          <w:color w:val="000000"/>
          <w:sz w:val="20"/>
        </w:rPr>
        <w:t xml:space="preserve"> </w:t>
      </w:r>
      <w:r>
        <w:rPr>
          <w:rFonts w:ascii="Times New Roman" w:hAnsi="Times New Roman"/>
          <w:b/>
          <w:color w:val="000000"/>
          <w:sz w:val="20"/>
        </w:rPr>
        <w:t>048581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Loo Choon Sen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16 Raffles Quay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#39-01A Hong Leong Building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Singapore</w:t>
      </w:r>
      <w:r>
        <w:rPr>
          <w:rFonts w:ascii="Times New Roman" w:hAnsi="Times New Roman"/>
          <w:color w:val="000000"/>
          <w:sz w:val="20"/>
        </w:rPr>
        <w:t xml:space="preserve"> </w:t>
      </w:r>
      <w:r>
        <w:rPr>
          <w:rFonts w:ascii="Times New Roman" w:hAnsi="Times New Roman"/>
          <w:b/>
          <w:color w:val="000000"/>
          <w:sz w:val="20"/>
        </w:rPr>
        <w:t>048581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Tel: +65</w:t>
      </w:r>
      <w:r>
        <w:rPr>
          <w:rFonts w:ascii="Times New Roman" w:hAnsi="Times New Roman"/>
          <w:color w:val="000000"/>
          <w:sz w:val="20"/>
        </w:rPr>
        <w:t xml:space="preserve"> </w:t>
      </w:r>
      <w:r>
        <w:rPr>
          <w:rFonts w:ascii="Times New Roman" w:hAnsi="Times New Roman"/>
          <w:b/>
          <w:color w:val="000000"/>
          <w:sz w:val="20"/>
        </w:rPr>
        <w:t>6220 8411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Fax: +65 6221 1172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Telephone, E-mail and/or Facsimile number and Address of Company Contact Person)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Securities registered or to be registered pursuant to Section 12(b) of the Act. </w:t>
      </w:r>
    </w:p>
    <w:p>
      <w:pPr>
        <w:pStyle w:val="TextBody"/>
        <w:bidi w:val="0"/>
        <w:jc w:val="both"/>
        <w:rPr/>
      </w:pPr>
      <w:r>
        <w:rPr/>
        <w:t> </w:t>
      </w:r>
    </w:p>
    <w:tbl>
      <w:tblPr>
        <w:tblW w:w="8950" w:type="dxa"/>
        <w:jc w:val="left"/>
        <w:tblInd w:w="0" w:type="dxa"/>
        <w:tblLayout w:type="fixed"/>
        <w:tblCellMar>
          <w:top w:w="28" w:type="dxa"/>
          <w:left w:w="28" w:type="dxa"/>
          <w:bottom w:w="28" w:type="dxa"/>
          <w:right w:w="28" w:type="dxa"/>
        </w:tblCellMar>
      </w:tblPr>
      <w:tblGrid>
        <w:gridCol w:w="3736"/>
        <w:gridCol w:w="146"/>
        <w:gridCol w:w="1456"/>
        <w:gridCol w:w="146"/>
        <w:gridCol w:w="346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US$0.10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CYD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registered or to be registered pursuant to Section 12(g) of the Act. </w:t>
      </w:r>
    </w:p>
    <w:p>
      <w:pPr>
        <w:pStyle w:val="TextBody"/>
        <w:bidi w:val="0"/>
        <w:spacing w:before="80" w:after="283"/>
        <w:jc w:val="center"/>
        <w:rPr>
          <w:rFonts w:ascii="Times New Roman" w:hAnsi="Times New Roman"/>
          <w:sz w:val="20"/>
        </w:rPr>
      </w:pPr>
      <w:r>
        <w:rPr>
          <w:rFonts w:ascii="Times New Roman" w:hAnsi="Times New Roman"/>
          <w:b/>
          <w:color w:val="000000"/>
          <w:sz w:val="20"/>
        </w:rPr>
        <w:t>None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(Title of Class)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for which there is a reporting obligation pursuant to Section 15(d) of the Act. </w:t>
      </w:r>
    </w:p>
    <w:p>
      <w:pPr>
        <w:pStyle w:val="TextBody"/>
        <w:bidi w:val="0"/>
        <w:spacing w:before="80" w:after="283"/>
        <w:jc w:val="center"/>
        <w:rPr>
          <w:rFonts w:ascii="Times New Roman" w:hAnsi="Times New Roman"/>
          <w:sz w:val="20"/>
        </w:rPr>
      </w:pPr>
      <w:r>
        <w:rPr>
          <w:rFonts w:ascii="Times New Roman" w:hAnsi="Times New Roman"/>
          <w:b/>
          <w:color w:val="000000"/>
          <w:sz w:val="20"/>
        </w:rPr>
        <w:t>None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(Title of Class)</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the number of outstanding shares of each of the issuer’s classes of capital or common stock as of the close of the period covered by the annual report.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December 31, 2025, 37,518,322 shares of common stock, par value US$0.10 per share, and one special share, par value US$0.10, were issued and outstanding (excluding 3,339,968 shares held as treasury shares).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if the registrant is a well-known seasoned issuer, as defined in Rule 405 of the Securities Act.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this report is an annual or transition report, indicate by check mark if the registrant is not required to file reports pursuant to Section 13 or 15(d) of the Securities Exchange Act of 1934.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Note - Checking the box above will not relieve any registrant required to file reports pursuant to Section 13 or 15(d) of the Securities Exchange Act of 1934 from their obligations under those Sections.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 The term “new or revised financial accounting standard” refers to any update issued by the Financial Accounting Standards Board to its Accounting Standards Codification after April 5, 2012.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which basis of accounting the registrant has used to prepare the financial statements included in this filing: </w:t>
      </w:r>
    </w:p>
    <w:p>
      <w:pPr>
        <w:pStyle w:val="TextBody"/>
        <w:bidi w:val="0"/>
        <w:jc w:val="left"/>
        <w:rPr/>
      </w:pPr>
      <w:r>
        <w:rPr/>
        <w:t> </w:t>
      </w:r>
    </w:p>
    <w:tbl>
      <w:tblPr>
        <w:tblW w:w="6743" w:type="dxa"/>
        <w:jc w:val="left"/>
        <w:tblInd w:w="0" w:type="dxa"/>
        <w:tblLayout w:type="fixed"/>
        <w:tblCellMar>
          <w:top w:w="28" w:type="dxa"/>
          <w:left w:w="28" w:type="dxa"/>
          <w:bottom w:w="28" w:type="dxa"/>
          <w:right w:w="28" w:type="dxa"/>
        </w:tblCellMar>
      </w:tblPr>
      <w:tblGrid>
        <w:gridCol w:w="1476"/>
        <w:gridCol w:w="4441"/>
        <w:gridCol w:w="826"/>
      </w:tblGrid>
      <w:tr>
        <w:trPr/>
        <w:tc>
          <w:tcPr>
            <w:tcW w:w="147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4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U.S. GAAP ☐</w:t>
            </w:r>
          </w:p>
        </w:tc>
        <w:tc>
          <w:tcPr>
            <w:tcW w:w="4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International Financial Reporting Standards as issued</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by the International Accounting Standards Board ☒</w:t>
            </w:r>
          </w:p>
        </w:tc>
        <w:tc>
          <w:tcPr>
            <w:tcW w:w="8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Other ☐</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“Other” has been checked in response to the previous question, indicate by check mark which financial statement item the registrant has elected to follow. Item 17 ☐ Item 18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this is an annual report, indicate by check mark whether the registrant is a shell company (as defined in Rule 12b-2 of the Exchange Act).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(APPLICABLE ONLY TO ISSUERS INVOLVED IN BANKRUPTCY PROCEEDINGS DURING THE PAST FIVE YEARS)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pBdr>
          <w:bottom w:val="double" w:sz="6" w:space="1" w:color="000000"/>
        </w:pBdr>
        <w:bidi w:val="0"/>
        <w:spacing w:before="8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toc"/>
      <w:bookmarkEnd w:id="3"/>
      <w:r>
        <w:rPr>
          <w:rFonts w:ascii="Times New Roman" w:hAnsi="Times New Roman"/>
          <w:b/>
          <w:color w:val="000000"/>
          <w:sz w:val="20"/>
        </w:rPr>
        <w:t>TABLE O</w:t>
      </w:r>
      <w:bookmarkStart w:id="4" w:name="toc_page"/>
      <w:bookmarkEnd w:id="4"/>
      <w:r>
        <w:rPr>
          <w:rFonts w:ascii="Times New Roman" w:hAnsi="Times New Roman"/>
          <w:b/>
          <w:color w:val="000000"/>
          <w:sz w:val="20"/>
        </w:rPr>
        <w:t>F CONTENTS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jc w:val="left"/>
        <w:rPr/>
      </w:pPr>
      <w:r>
        <w:rPr/>
        <w:t> </w:t>
      </w:r>
    </w:p>
    <w:tbl>
      <w:tblPr>
        <w:tblW w:w="7697" w:type="dxa"/>
        <w:jc w:val="left"/>
        <w:tblInd w:w="0" w:type="dxa"/>
        <w:tblLayout w:type="fixed"/>
        <w:tblCellMar>
          <w:top w:w="28" w:type="dxa"/>
          <w:left w:w="28" w:type="dxa"/>
          <w:bottom w:w="28" w:type="dxa"/>
          <w:right w:w="28" w:type="dxa"/>
        </w:tblCellMar>
      </w:tblPr>
      <w:tblGrid>
        <w:gridCol w:w="7081"/>
        <w:gridCol w:w="616"/>
      </w:tblGrid>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Page</w:t>
            </w:r>
            <w:r>
              <w:rPr>
                <w:rFonts w:ascii="Times New Roman" w:hAnsi="Times New Roman"/>
                <w:color w:val="000000"/>
                <w:sz w:val="20"/>
              </w:rPr>
              <w:t xml:space="preserve">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certain_definitions_and_supplemental_inf">
              <w:r>
                <w:rPr>
                  <w:rStyle w:val="InternetLink"/>
                  <w:rFonts w:ascii="Times New Roman" w:hAnsi="Times New Roman"/>
                  <w:color w:val="0000FF"/>
                  <w:sz w:val="20"/>
                  <w:u w:val="single"/>
                </w:rPr>
                <w:t>Certain Definitions and Supplemental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cautionary_statements_with_respect_to_fo">
              <w:r>
                <w:rPr>
                  <w:rStyle w:val="InternetLink"/>
                  <w:rFonts w:ascii="Times New Roman" w:hAnsi="Times New Roman"/>
                  <w:color w:val="0000FF"/>
                  <w:sz w:val="20"/>
                  <w:u w:val="single"/>
                </w:rPr>
                <w:t>Cautionary Statements with Respect to Forward-Looking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Item 1. Identity of Directors, Senior Management and Advisers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Item 2. Offer Statistics and Expected Timetable</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Item 3. Key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Item 4. Information on the Company</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4a">
              <w:r>
                <w:rPr>
                  <w:rStyle w:val="InternetLink"/>
                  <w:rFonts w:ascii="Times New Roman" w:hAnsi="Times New Roman"/>
                  <w:color w:val="0000FF"/>
                  <w:sz w:val="20"/>
                  <w:u w:val="single"/>
                </w:rPr>
                <w:t>Item 4A. Unresolved Staff Comments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Item 5. Operating and Financial Review and Prospects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Item 6. Directors, Senior Management and Employees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Item 7. Major Shareholders and Related Party Transactions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Item 8. Financial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Item 9. The Offer and Listing</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Item 10. Additional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Item 11. Quantitative and Qualitative Disclosures About Market Risk</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Item 12. Description of Securities Other Than Equity Securities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Item 13. Defaults, Dividend Arrearages and Delinquencies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Item 14. Material Modifications to the Rights of Security Holders and Use of Proceeds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Item 15. Controls and Procedures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a">
              <w:r>
                <w:rPr>
                  <w:rStyle w:val="InternetLink"/>
                  <w:rFonts w:ascii="Times New Roman" w:hAnsi="Times New Roman"/>
                  <w:color w:val="0000FF"/>
                  <w:sz w:val="20"/>
                  <w:u w:val="single"/>
                </w:rPr>
                <w:t>Item 16A. Audit Committee Financial Expert</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b">
              <w:r>
                <w:rPr>
                  <w:rStyle w:val="InternetLink"/>
                  <w:rFonts w:ascii="Times New Roman" w:hAnsi="Times New Roman"/>
                  <w:color w:val="0000FF"/>
                  <w:sz w:val="20"/>
                  <w:u w:val="single"/>
                </w:rPr>
                <w:t>Item 16B. Code of Ethics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c">
              <w:r>
                <w:rPr>
                  <w:rStyle w:val="InternetLink"/>
                  <w:rFonts w:ascii="Times New Roman" w:hAnsi="Times New Roman"/>
                  <w:color w:val="0000FF"/>
                  <w:sz w:val="20"/>
                  <w:u w:val="single"/>
                </w:rPr>
                <w:t>Item 16C. Principal Accountants Fees and Services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d">
              <w:r>
                <w:rPr>
                  <w:rStyle w:val="InternetLink"/>
                  <w:rFonts w:ascii="Times New Roman" w:hAnsi="Times New Roman"/>
                  <w:color w:val="0000FF"/>
                  <w:sz w:val="20"/>
                  <w:u w:val="single"/>
                </w:rPr>
                <w:t>Item 16D. Exemptions from the Listing Standards for Audit Committees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e">
              <w:r>
                <w:rPr>
                  <w:rStyle w:val="InternetLink"/>
                  <w:rFonts w:ascii="Times New Roman" w:hAnsi="Times New Roman"/>
                  <w:color w:val="0000FF"/>
                  <w:sz w:val="20"/>
                  <w:u w:val="single"/>
                </w:rPr>
                <w:t>Item 16E. Purchases of Equity Securities by the Issuer and Affiliated Purchasers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f">
              <w:r>
                <w:rPr>
                  <w:rStyle w:val="InternetLink"/>
                  <w:rFonts w:ascii="Times New Roman" w:hAnsi="Times New Roman"/>
                  <w:color w:val="0000FF"/>
                  <w:sz w:val="20"/>
                  <w:u w:val="single"/>
                </w:rPr>
                <w:t>Item 16F. Change in Registrant’s Certifying Accountant</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g">
              <w:r>
                <w:rPr>
                  <w:rStyle w:val="InternetLink"/>
                  <w:rFonts w:ascii="Times New Roman" w:hAnsi="Times New Roman"/>
                  <w:color w:val="0000FF"/>
                  <w:sz w:val="20"/>
                  <w:u w:val="single"/>
                </w:rPr>
                <w:t>Item 16G. Corporate Governance</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h">
              <w:r>
                <w:rPr>
                  <w:rStyle w:val="InternetLink"/>
                  <w:rFonts w:ascii="Times New Roman" w:hAnsi="Times New Roman"/>
                  <w:color w:val="0000FF"/>
                  <w:sz w:val="20"/>
                  <w:u w:val="single"/>
                </w:rPr>
                <w:t>Item 16H. Mine Safety Disclosure</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i">
              <w:r>
                <w:rPr>
                  <w:rStyle w:val="InternetLink"/>
                  <w:rFonts w:ascii="Times New Roman" w:hAnsi="Times New Roman"/>
                  <w:color w:val="0000FF"/>
                  <w:sz w:val="20"/>
                  <w:u w:val="single"/>
                </w:rPr>
                <w:t>Item 16I. Disclosure Regarding Foreign Jurisdictions that Prevent Inspections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j">
              <w:r>
                <w:rPr>
                  <w:rStyle w:val="InternetLink"/>
                  <w:rFonts w:ascii="Times New Roman" w:hAnsi="Times New Roman"/>
                  <w:color w:val="0000FF"/>
                  <w:sz w:val="20"/>
                  <w:u w:val="single"/>
                </w:rPr>
                <w:t>Item 16J. Insider Trading Policies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6k">
              <w:r>
                <w:rPr>
                  <w:rStyle w:val="InternetLink"/>
                  <w:rFonts w:ascii="Times New Roman" w:hAnsi="Times New Roman"/>
                  <w:color w:val="0000FF"/>
                  <w:sz w:val="20"/>
                  <w:u w:val="single"/>
                </w:rPr>
                <w:t>Item 16K. Cybersecurity</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7">
              <w:r>
                <w:rPr>
                  <w:rStyle w:val="InternetLink"/>
                  <w:rFonts w:ascii="Times New Roman" w:hAnsi="Times New Roman"/>
                  <w:color w:val="0000FF"/>
                  <w:sz w:val="20"/>
                  <w:u w:val="single"/>
                </w:rPr>
                <w:t>Item 17. Financial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8">
              <w:r>
                <w:rPr>
                  <w:rStyle w:val="InternetLink"/>
                  <w:rFonts w:ascii="Times New Roman" w:hAnsi="Times New Roman"/>
                  <w:color w:val="0000FF"/>
                  <w:sz w:val="20"/>
                  <w:u w:val="single"/>
                </w:rPr>
                <w:t>Item 18. Financial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item_19">
              <w:r>
                <w:rPr>
                  <w:rStyle w:val="InternetLink"/>
                  <w:rFonts w:ascii="Times New Roman" w:hAnsi="Times New Roman"/>
                  <w:color w:val="0000FF"/>
                  <w:sz w:val="20"/>
                  <w:u w:val="single"/>
                </w:rPr>
                <w:t>Item 19. Exhibits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7081" w:type="dxa"/>
            <w:tcBorders/>
            <w:tcMar>
              <w:top w:w="0" w:type="dxa"/>
              <w:left w:w="0" w:type="dxa"/>
              <w:bottom w:w="0" w:type="dxa"/>
              <w:right w:w="0" w:type="dxa"/>
            </w:tcMar>
            <w:vAlign w:val="center"/>
          </w:tcPr>
          <w:p>
            <w:pPr>
              <w:pStyle w:val="TableContents"/>
              <w:bidi w:val="0"/>
              <w:spacing w:before="0" w:after="283"/>
              <w:jc w:val="left"/>
              <w:rPr/>
            </w:pPr>
            <w:hyperlink w:anchor="consolidated_financial_statements">
              <w:r>
                <w:rPr>
                  <w:rStyle w:val="InternetLink"/>
                  <w:rFonts w:ascii="Times New Roman" w:hAnsi="Times New Roman"/>
                  <w:color w:val="0000FF"/>
                  <w:sz w:val="20"/>
                  <w:u w:val="single"/>
                </w:rPr>
                <w:t>Consolidated Financial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5" w:name="certain_definitions_and_supplemental_inf"/>
      <w:bookmarkEnd w:id="5"/>
      <w:r>
        <w:rPr>
          <w:rFonts w:ascii="Times New Roman" w:hAnsi="Times New Roman"/>
          <w:b/>
          <w:color w:val="000000"/>
          <w:sz w:val="20"/>
        </w:rPr>
        <w:t>Certain Definitions and Supplemental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references to “China” and “PRC” in this Annual Report are references to the People’s Republic of China. Unless otherwise specified, all references in this Annual Report to “US dollar” or “US$” are to the United States dollar; all references to “Renminbi” or “RMB” are to Renminbi, the legal tender currency of China; all references to “S$” are to the Singapore dollar, the legal tender currency of Singapore. Unless otherwise specified, translation of amounts for the convenience of the reader has been made in this Annual Report (i) from Renminbi to US dollar at the rate of RMB 6.9228 = US$1.00, the rate quoted by the People’s Bank of China, or the PBOC, on February 27, 2026, and (ii) from Singapore dollar to US dollar at the rate of S$1.2643 = US$1.00, the noon buying rate in New York for cable transfers payable in foreign currencies as certified for customs purposes by the Federal Reserve Bank of New York on February 27, 2026. No representation is made that the Renminbi amounts or Singapore dollar amounts could have been, or could be, converted into US dollar at rates specified herein or any other 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used in this Annual Report, unless the context otherwise requires, the terms “the Company”, “the Group”, “CYI”, “we”, “us”, “our” and “our Company” refer to China Yuchai International Limited, or as the context requires, China Yuchai International Limited and its subsidiaries. All references herein to “Yuchai” are to Guangxi Yuchai Machinery Company Limited and its subsidiaries and, prior to its incorporation in July 1992, to the machinery business of its predecessor, Guangxi Yulin Diesel Engine Factory, or Yulin Diesel. In the restructuring of Yulin Diesel in July 1992, its other businesses were transferred to Guangxi Yuchai Machinery Group Company, which became a shareholder of Yuchai. All references herein to “GY” are to Guangxi Yuchai Machinery Group Company (formerly known as Guangxi Yuchai Machinery Holdings Company, and also Guangxi Yuchai Machinery Group Company Limited). All references herein to “the GY Group” are to GY and its subsidiaries. In May 1993, in order to finance further expansion, Yuchai sold shares to the Company. All references herein to “Foreign Shares” are to the shares sold by Yuchai to non-Chinese legal and natural persons (currently only CYI). All references to “MGP” are to Guangxi Yuchai Marine and Genset Power Co., Ltd., or as the context requires, Guangxi Yuchai Marine and Genset Power Co., Ltd. and its subsidiaries. All references to “Yuchai Simlan” are to Yuchai Simlan Technology Co., Ltd. (formerly known as Yuchai Xin-Lan New Energy Power Technology Co., Ltd.), or as the context requires, Yuchai Simlan Technology Co., Ltd. and its subsidiaries. All references to “HLGE” are to HL Global Enterprises Limited (formerly known as HLG Enterprise Limited). All references herein to the “HLGE Group” are to HLGE and its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37,518,322 shares of our common stock, par value US$0.10 per share (excluding 3,339,968 shares held as treasury shares) and one special share, par value US$0.10, were issued and outstanding. The weighted average shares of our common stock outstanding during the year was 37,518,322. As of February 27, 2026, 37,518,322 shares of our common stock (excluding 3,339,968 shares held as treasury shares), and one special share, par value US$0.10, were issued and outstanding.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China, Euro emission standards are equivalent to National emission standards, and references to National emission standards are equivalent to references to Euro emission standards. All references to Tier-3 and Tier-4 emission standards are to emission standards adopted by the Ministry of Ecology and Environment of the People’s Republic of China, or the “MEE”, applicable to diesel engines used in off-road machinery.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references to “CAAM” are to the China Association of Automobile Manufacturers. Unless stated otherwise, all data related to the commercial vehicle market in China in this Annual Report is attributed to CAAM.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consolidated financial statements are reported in Renminbi and prepared in conformity with the IFRS Accounting Standards as issued by the International Accounting Standards Board. Totals presented in this Annual Report may not correctly total due to rounding of numbers. References to a particular fiscal year are to the period ended December 31 of such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financial and operational data included in this Annual Report reflect Yuchai’s current classification system for light-, medium- and heavy-duty engines. Under this classification system, light-duty engines have engine capacity of 3.8 liters or less; medium-duty engines have engine capacity of between 3.8 liters and 7.0 liters; and heavy-duty engines have engine capacity of more than 7.0 liters. </w:t>
      </w:r>
    </w:p>
    <w:p>
      <w:pPr>
        <w:pStyle w:val="TextBody"/>
        <w:bidi w:val="0"/>
        <w:spacing w:before="360" w:after="283"/>
        <w:jc w:val="both"/>
        <w:rPr>
          <w:rFonts w:ascii="Times New Roman" w:hAnsi="Times New Roman"/>
          <w:sz w:val="20"/>
        </w:rPr>
      </w:pPr>
      <w:bookmarkStart w:id="6" w:name="cautionary_statements_with_respect_to_fo"/>
      <w:bookmarkEnd w:id="6"/>
      <w:r>
        <w:rPr>
          <w:rFonts w:ascii="Times New Roman" w:hAnsi="Times New Roman"/>
          <w:b/>
          <w:color w:val="000000"/>
          <w:sz w:val="20"/>
        </w:rPr>
        <w:t>Cautionary Statements with Respect to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Annual Report may contain forward-looking statements that reflect our current expectations, beliefs, assumption and views of future events which we believe may affect our financial condition, results of operations, business and prospects. The forward-looking statements are made under the “safe-harbor” provisions of the U.S. Private Securities Litigation Reform Act of 1995. All statements other than statements of historical fact are statements that may be deemed forward-looking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words such as “believe” “expect”, “anticipate”, “project”, “target”, “optimistic”, “confident that”, “continue to”, “predict”, “intend”, “aim”, “will” or similar expressions in this Annual Report are intended to identify forward-looking statements. We wish to caution readers that the forward-looking statements contained in this Annual Report, which include all statements that, at the time made, address future results of operations, are based upon our interpretation of factors affecting our business and operations. These forward-looking statements include statements relating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goal and strategies;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business development, financial conditions, and results of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expected growth of the diesel and natural gas engine industry as well as the electric and new energy vehicles industry including hybrid, pure electric vehicles, fuel cell electric vehicles and other alternative energy-powered vehicles;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demand for and market acceptance of our products and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our relationships with, and actions and developments affecting, our customers, suppliers, third-party service providers, strategic partners, and other stakeholders;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in our industry as well as from the growing new energy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to relevant government policies and regulations relating to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political, economic and social conditions globally and in China;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assumptions underlying or related to any of the foregoing.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Known or unknown risks, uncertainties and other factors, including those discussed in “Item 3. Key Information — D. Risk Factors”, may cause our actual results, performance or achievements to be materially different from those expressed in, or implied by, the forward-looking statements contained in this Annual Report. Accordingly, we can give no assurances that any of the events anticipated by these forward-looking statements will transpire or occur or, if any of the foregoing factors or other risks and uncertainties described elsewhere in this Annual Report were to occur, what impact they will have on these forward-looking statements, including the results of our operations or financial condition. In view of these uncertainties, you are cautioned not to place undue reliance on these forward-looking statements. We expressly disclaim any obligation to publicly revise any forward-looking statements contained in this Annual Report to reflect the occurrence of events after the date of this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7" w:name="item_1"/>
      <w:bookmarkEnd w:id="7"/>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 IDENTITY OF DIRECTORS, SENIOR MANAGEMENT AND ADVISERS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8" w:name="item_2"/>
      <w:bookmarkEnd w:id="8"/>
      <w:r>
        <w:rPr>
          <w:rFonts w:ascii="Times New Roman" w:hAnsi="Times New Roman"/>
          <w:b/>
          <w:color w:val="000000"/>
          <w:sz w:val="20"/>
        </w:rPr>
        <w:t>ITEM 2. OFFER STATISTICS AND EXPECTED TIMETABLE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9" w:name="item_3"/>
      <w:bookmarkEnd w:id="9"/>
      <w:r>
        <w:rPr>
          <w:rFonts w:ascii="Times New Roman" w:hAnsi="Times New Roman"/>
          <w:b/>
          <w:color w:val="000000"/>
          <w:sz w:val="20"/>
        </w:rPr>
        <w:t>ITEM 3. KEY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[Reserved]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Capitalization and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Reasons for the Offer and Use of Proceeds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Risk Factors </w:t>
      </w:r>
    </w:p>
    <w:p>
      <w:pPr>
        <w:pStyle w:val="TextBody"/>
        <w:bidi w:val="0"/>
        <w:spacing w:before="120" w:after="283"/>
        <w:jc w:val="both"/>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a number of risks and uncertainties, including those described in Item 3.D. of this Annual Report. If any of those risks are realized, our business, financial condition and results of operations could be materially and adversely affected. Set forth below is a summary list of the key risks to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Related to Our Business and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diesel engine business in China is significantly influenced by the performance of the Chinese and the global economy. Adverse economic developments in China or in the global economy could have a material adverse effect on our financial condition, results of operations, business or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diesel engine business in China is dependent in large part on relevant government policies. As a result, our financial condition, results of operations, business and prospects could be adversely affected by changes in government policies in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and expect to continue to depend on our largest customers for a significant percentage of our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from other diesel engine manufacturers may adversely affect our financial condition, results of operations, business or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in transactions with related parties from time to time. Such transactions present possible conflicts of interest and could have a material and adverse effect on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China’s vehicle and machinery industries are increasing their momentum to new energy applications. This may lead to a decrease in demand for our engines, affecting our business volume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continually improve our existing engine products and develop new engine products or successfully enter into other markets, we may become less competitive, and our financial condition, results of operations, business and prospects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obtain sufficient financing to fund our capital requirements, which could limit our growth potential.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associated with our joint ventures and strategic alliances.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 results of operations, business or prospects may be adversely affected to the extent we are unable to continue our sales and investment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our suppliers, some of whom are our single source suppliers for the components they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by the disruption of supply or shortage of raw materials and components.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exposed to the impact of interest rates and foreign currency movements with respect to our future borrowings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prices of energy, raw materials or components increase, it may adversely affect our profitability or cause us to suffer operating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adoption of more stringent emission standards may adversely affect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associated with being subject to trade controls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information technology and our systems and infrastructure face certain risks, including cybersecurity risks and data leakage risks. Any failure to comply with the various applicable laws and regulations related to data security and cybersecurity could lead to liabilities, penalties or other regulatory actions, which could have a material and adverse effect on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from incorporation of artificial intelligence technologies into our products, manufacturing processes and business operations, as well as potential challenges associated with the implementation of such technologies could adversely affect our operations, reputation and competitive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risks related to the PRC authorities’ investigatory actions against and the alleged misconduct of certain former directors and senior management personnel of us and our subsidiaries.</w:t>
      </w:r>
    </w:p>
    <w:p>
      <w:pPr>
        <w:pStyle w:val="TextBody"/>
        <w:bidi w:val="0"/>
        <w:spacing w:before="360" w:after="283"/>
        <w:jc w:val="both"/>
        <w:rPr>
          <w:rFonts w:ascii="Times New Roman" w:hAnsi="Times New Roman"/>
          <w:sz w:val="20"/>
        </w:rPr>
      </w:pPr>
      <w:r>
        <w:rPr>
          <w:rFonts w:ascii="Times New Roman" w:hAnsi="Times New Roman"/>
          <w:b/>
          <w:i/>
          <w:color w:val="000000"/>
          <w:sz w:val="20"/>
        </w:rPr>
        <w:t>Risks related to Corporate Structure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 results of operations, business and prospects may be adversely affected if we are unable to implement the Reorganization Agreement and the Cooperation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controlling shareholder’s interests may differ from those of our other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experienced and may in the future experience disagreements and difficulties with the shareholders in Yuchai.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face risks associated with our subsidiary being a standalone public company.</w:t>
      </w:r>
    </w:p>
    <w:p>
      <w:pPr>
        <w:pStyle w:val="TextBody"/>
        <w:bidi w:val="0"/>
        <w:spacing w:before="360" w:after="283"/>
        <w:jc w:val="both"/>
        <w:rPr>
          <w:rFonts w:ascii="Times New Roman" w:hAnsi="Times New Roman"/>
          <w:sz w:val="20"/>
        </w:rPr>
      </w:pPr>
      <w:r>
        <w:rPr>
          <w:rFonts w:ascii="Times New Roman" w:hAnsi="Times New Roman"/>
          <w:b/>
          <w:i/>
          <w:color w:val="000000"/>
          <w:sz w:val="20"/>
        </w:rPr>
        <w:t>General Risk Factors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Escalating geopolitical tensions and regional conflicts may materially and adversely affect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 trade policies and regulations dynamics may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and uncertainties relating to political or social conditions, government policies or regulations in China could have a material and adverse effect on our business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tax laws or tax rulings could negatively impact our income tax provision and net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Uncertainties in the interpretation and enforcement of PRC laws and regulations could limit the legal protections available to you and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holding company and depend on the ability of our subsidiaries to distribute funds to us in order to satisfy our financial obligations and to make dividend payments. Regulations in China regarding currency conversion could limit our ability to obtain sufficient foreign currency to satisfy our foreign currency requirements or to pay dividends to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PRC regulation of loans to and direct investment in PRC entities by offshore holding companies and governmental control of currency conversion may restrict or delay us from using the proceeds of our offshore offerings to make loans or additional capital contributions to our PRC subsidiaries, which could adversely affect our liquidity and our ability to fund and expand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offerings that we may conduct in the future may be subject to the approval, filing or other administration requirements of the China Securities Regulatory Commission, or the CSRC, the Cyberspace Administration of China, or the CAC, or other PRC governmental authorities, and we cannot assure you that we will be able to obtain such approval, satisfy such requirements or complete such filings.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United States regulators may be limited in their ability to conduct investigations or inspections of our operations in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The diesel engine business in China is significantly influenced by the performance of the Chinese and the global economy. Adverse economic developments in China or in the global economy could have a material adverse effect on our financial condition, results of operations, business or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and performance are significantly influenced by economic factors in China such as GDP growth, industrial output, consumer spending and trade dynamics. These factors influence not only the demand for our products in various sectors, but also our cost of production, supply chain resilience and strategic investment capability.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interconnectivity of the global economy amplifies these risks. Economic events and trends in major markets like the United States and Europe, as well as emerging economies in the Asia-Pacific region, can impact the economic and industrial conditions in China. Fluctuations in the global economy can lead to volatility in the price of raw materials and energy. Trade tensions, geopolitical instability, and evolving regulatory or environmental policies in these markets can disrupt supply chains, shift consumer preferences, and create ripple effects on global trade flows and economic activities, ultimately influencing demand for our products sold both in China and overseas.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performance of the Chinese economy affects, to a significant degree, our financial condition, results of operations, business and prospects. Adverse changes in the Chinese and global economy, such as slowing GDP growth, reduced industrial output, or declining customer confidence, could increase costs associated with product development, decrease the availability of potential sources of financing, raise financing costs, and increase our exposure to material losses from our investments. Any of these outcomes could have a material adverse impact on our financial condition and operating results.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diesel engine business in China is significantly influenced by government policies. As a result, our financial condition, results of operations, business and prospects could be adversely affected by changes in government policies in China.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policies significantly influence various aspects of our business and our industry, including productions, emission regulations, subsidies, and market demand. Government policies in China regarding emissions standards and fuel efficiency requirements directly impact the design, production, and sale of engines, as well as market demand for new energy products. These policies serve as the framework within which we operate, and directly influence our strategies and activities across various aspects of our business. Changes in these policies could adversely affect our financial condition, results of operations, business, or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recent years, the Chinese government has prioritized energy conservation and carbon reduction, exemplified by its commitment to achieving peak carbon emissions by 2030 and carbon neutrality by 2060. This has led to the introduction of policies that de-emphasize traditional engines, such as diesel engines, and encourage increased use of cleaner energy alternatives. Such changes have adversely impacted our financial condition and market position. Compliance with stringent emission and fuel efficiency standards requires significant investment in advanced technologies to optimize engine performance while minimizing environmental impacts.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Government policies influence market demand by shaping economic conditions, infrastructure development, and investment in transportation sectors. For instance, policies promoting construction of highways, railways, and ports can drive demand for heavy-duty vehicles powered by engines, while subsidies or incentives for agricultural machinery can boost our sales in the agricultural sector. The government incentive schemes have, directly or indirectly, contributed to our overall engine sales in the past. However, government policies are subject to change, and we cannot guarantee our continuous compliance with or benefit from the government policies. </w:t>
      </w:r>
    </w:p>
    <w:p>
      <w:pPr>
        <w:pStyle w:val="TextBody"/>
        <w:bidi w:val="0"/>
        <w:spacing w:before="360" w:after="283"/>
        <w:jc w:val="both"/>
        <w:rPr>
          <w:rFonts w:ascii="Times New Roman" w:hAnsi="Times New Roman"/>
          <w:sz w:val="20"/>
        </w:rPr>
      </w:pPr>
      <w:r>
        <w:rPr>
          <w:rFonts w:ascii="Times New Roman" w:hAnsi="Times New Roman"/>
          <w:b/>
          <w:i/>
          <w:color w:val="000000"/>
          <w:sz w:val="20"/>
        </w:rPr>
        <w:t>We depend on and expect to continue to depend on our largest customers for a significant percentage of our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to our top five customers accounted for 35.5% of our total revenue in 2025. Although we consider our relationship with our top customers to be good, the loss of one or more of our top customers, whether singly or combined together, would have a material adverse effect on our financial condition, results of operations, business or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dependency on purchases made by our top customers exposes us to risks associated with their liquidity, market position, and purchasing decisions. Any adverse changes in their financial stability, market position, or purchasing patterns could adversely impact our sales volume and revenue. We cannot assure you that our top customers will be able to continue purchasing the same volume of products from us, purchase products at the same price, or fulfil all payment obligations, failing of which would reduce our overall sales volume and adversely affect our revenue or collections. In addition, fluctuations in the economic environment or industry-specific challenges may lead to reduced demand from these major customers, further intensifying the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top customer is a leading automobile manufacturer group in China. In 2025, sales to our top customer as a group accounted for 17.1% of our total revenue, of which 8.7% was attributable to a single entity within the group. Although we believe that the companies within our top customer’s group generally make independent purchasing decisions based on end-user preferences, we cannot assure you that manufacturers associated with our top customer will not preferentially purchase engines manufactured by companies within their own group or from our competitors over those manufactured by us. </w:t>
      </w:r>
    </w:p>
    <w:p>
      <w:pPr>
        <w:pStyle w:val="TextBody"/>
        <w:bidi w:val="0"/>
        <w:spacing w:before="360" w:after="283"/>
        <w:jc w:val="both"/>
        <w:rPr>
          <w:rFonts w:ascii="Times New Roman" w:hAnsi="Times New Roman"/>
          <w:sz w:val="20"/>
        </w:rPr>
      </w:pPr>
      <w:r>
        <w:rPr>
          <w:rFonts w:ascii="Times New Roman" w:hAnsi="Times New Roman"/>
          <w:b/>
          <w:i/>
          <w:color w:val="000000"/>
          <w:sz w:val="20"/>
        </w:rPr>
        <w:t>Competition from other diesel engine manufacturers may adversely affect our financial condition, results of operations, business or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diesel engine industry in China is highly competitive, with several factors contributing to this competitive landscape: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improvement in competitors’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production capacity of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utilization of idle capacity by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price competition;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emphasis on new energy power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consolidations in the diesel engine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diesel engine industry in China is characterized by intense competition among a few dominant domestic players and established international joint ventures. Leading manufacturers possess significant economies of scale, vertically integrated supply chains, and extensive distribution networks. While these factors exert persistent downward pressure on market pricing, competition is also driven by a range of additional factors, including product quality and performance, brand recognition and reputation, marketing and promotional strategies, pricing practices and discounting, and the ability to provide timely and comprehensive after-sales service and technical support. As we and our competitors compete for market share, actions taken by us or our competitors or competitive pressures in the market could adversely impact our revenues, margins and overall profitability. An increase in competition as a result of these various factors, operating singly or together, may adversely affect our financial condition, results of operations, business or prospects as a result of lower gross margins, higher fixed costs or decreasing market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long-term business prospects will depend largely upon our ability to develop and introduce new and improved products in response to market demands at competitive prices. Our competitors in the diesel engine markets may be able to introduce new or improved products that are more favorably received by customers. Competition in the end-user markets could also lead to technological improvements and advances that render our current products obsolete earlier than expected, in which case we may have to depreciate or impair our production equipment more rapidly than planned. Failure to introduce or delays in the introduction of new or improved products at competitive prices could have a material adverse effect on our financial condition, results of operations, business or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markets and product categories, our competitors include our customers and their affiliates. In 2025, our sales to our top five customers accounted for 35.5% of our total revenue, with our top customer being a leading automobile manufacturer group in China that also competes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consolidations or alliances in our industry may result in higher competition for us from the resulting larger companies. Concentration within our industry, or other potential moves by our competitors, could improve their competitive position and market share and may exert further pricing pressure on us. Any consolidation or alliances in our industry involving our key suppliers or customers may adversely affect our existing relationships and arrangements with them. The loss of one or more of our key suppliers or customers due to consolidation in our industry or otherwise could have a material adverse effect on our business, financial condition and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engage in transactions with related parties from time to time. Such transactions present possible conflicts of interest and could have a material and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and may in the future enter into transactions with related parties. Transactions with related parties present potential for conflicts of interest, as the interests of related parties may not align with the interests of our shareholders. We cannot assure you that our transactions with related parties were or will be entered into on terms as favorable to us as comparable transactions that we could enter with unaffiliated third parties. These transactions, individually or in the aggregate, may have a material and adverse effect on our business, financial condition and results of operations or may result in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China’s vehicle and machinery industries are increasing their momentum to new energy applications. This may lead to a decrease in demand for our engines, affecting our business volume and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China has set targets to reduce carbon emissions and enhance energy efficiency, which has led to increased support for the development and adoption of electric vehicles (“EVs”), hybrid vehicles, and other alternative energy technologies such as hydrogen powered and fuel cell solutions (collectively referred to as new energy vehicles, “NEVs,” and new energy power systems). According to the New Energy Vehicle Industry Development Plan (2021 - 2035), China aims for NEVs to account for 20% of total vehicle sales by 2025 and for the country to become a global leader in NEV technology by 2035. A series of policies and measures have been implemented to achieve these targets, including subsidies for NEV purchases, tax incentives, and investment in charging infrastructure. Beyond the automotive sector, China is also accelerating the green transition in off-road machinery, including construction and agricultural equipment. In 2026, China has transitioned into its 15th Five-Year-Plan. The 15th Five-Year-Plan, covering 2026 to 2030, prioritizes “New Quality Productive Forces” and a mandatory green and low-carbon transition, and sets a binding target to reduce carbon emission per unit of GDP by 17% by 2030. </w:t>
      </w:r>
    </w:p>
    <w:p>
      <w:pPr>
        <w:pStyle w:val="TextBody"/>
        <w:bidi w:val="0"/>
        <w:spacing w:before="240" w:after="283"/>
        <w:jc w:val="both"/>
        <w:rPr>
          <w:rFonts w:ascii="Times New Roman" w:hAnsi="Times New Roman"/>
          <w:sz w:val="20"/>
        </w:rPr>
      </w:pPr>
      <w:r>
        <w:rPr>
          <w:rFonts w:ascii="Times New Roman" w:hAnsi="Times New Roman"/>
          <w:color w:val="000000"/>
          <w:sz w:val="20"/>
        </w:rPr>
        <w:t>These developments underscore the importance of strategic alignment with China’s evolving power systems landscape by accelerating our research and development into new energy technologies and hydrogen power systems for on- and off-road applications. The foregoing policies require us to effectively adapt to these regulatory changes, while managing competitive pressures and shifting market preferences. Given that internal combustion engines account for the majority of our sales volume, failure to effectively respond to these trends could adversely impact our market position, financial performance, and long-term prospects in China’s vehicle and off-road machinery industries</w:t>
      </w:r>
      <w:r>
        <w:rPr>
          <w:rFonts w:ascii="Times New Roman" w:hAnsi="Times New Roman"/>
          <w:color w:val="404040"/>
          <w:sz w:val="20"/>
        </w:rPr>
        <w:t>. I</w:t>
      </w:r>
      <w:r>
        <w:rPr>
          <w:rFonts w:ascii="Times New Roman" w:hAnsi="Times New Roman"/>
          <w:color w:val="000000"/>
          <w:sz w:val="20"/>
        </w:rPr>
        <w:t xml:space="preserve">f the market for new energy solutions develops more quickly than we expect, or in directions we do not anticipate, additional competition resulting from these developments could reduce demand for our products, which could adversely affect our business, financial condition, results of operations and prospects. For information on Yuchai’s new energy products, see “Item 4. Information on the Company – B. Business Overview – Products and Key Product Development — Yuchai – New Energy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not able to continually improve our existing engine products and develop new engine products or successfully enter into other markets, we may become less competitive, and our financial condition, results of operations, business and prospects will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the highly competitive nature and ongoing evolution of the diesel engine industry in China, we will have to continually improve our existing engine products, develop new products and enter into new markets in order to remain competitive. Our long-term business prospects largely depend upon our ability to develop and introduce new or improved products at competitive prices and enter into new local and overseas markets. These future products, including alternate fuels combustion engines, may utilize different technologies and require market expertise beyond our current scope. We have dedicated substantial resources to improving our product technology, ensuring their competitiveness in the market. Yuchai offers a portfolio of diesel, natural gas and alternate fuels combustion engines, along with the development of new energy powertrain systems and environmentally friendly hybrid engines. There is no assurance that our efforts will be successful, or that our new products will be attractive to customers. Research and development efforts may not yield successful outcomes, and our products may not meet all customer needs or gain market acceptance. Additionally, competitors may develop technology more quickly or profitably than us. Failure to yield successful technologies and products could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technological requirements to comply with National VI and Tier-4 emission standards, and our commitment to preparing for more stringent or advanced technological requirements in the future, have required us to deploy significant resources on improving major engine components, systems and aftertreatment systems which has led to increased costs. The high cost of rare metal supply has resulted in a more expensive exhaust aftertreatment system. If such cost increase cannot be entirely transferred to our customers and the original equipment manufacturers, it could adversely affect our margins and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of a sustainable market for natural gas and alternative fuel combustion engines and new energy power systems in China may be affected by many factors, some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shifts in government policies, emission standards, or subsidies for alternative energy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emergence of newer, more competitive technologies and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prices and availability of oil and natural gas and other alternative energy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successful development of natural gas and alternate fuels refueling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development of new energy powertrain and control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consumer and industrial demand for natural gas and alternative fuel vehicles.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Rapidly changing markets, technology, emerging industry standards and frequent introduction of new products characterize our business. The introduction of new products embodying new technologies, including new manufacturing processes, and the emergence of new industry standards may render our planned product offerings obsolete, less competitive or less marketable. The process of developing our planned products is complex and requires significant continuing investments, development efforts and third-party commitments. Our failure to develop new technologies and products and the obsolescence of existing technologies could adversely affect our business, financial condition and operating results. Our success will depend, in part, on our ability to continue to enhance our existing technologies, develop new technology that addresses the increasing sophistication and varied needs of the market, and respond to technological advances and emerging industry standards and practices on a timely and cost-effective basis.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be unable to obtain sufficient financing to fund our capital requirements, which could limit our growth potential.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expansion of our existing operations and the development of our new energy business and products require significant capital investment. The scale of our future investments may require us to obtain additional funding, including through additional borrowings and by accessing the equity and debt capital markets. Without adequate funding, we could face critical challenges in developing the necessary technological and operational capabilities, which could hinder our ability to compete effectively in the rapidly evolving market. To bridge the gap, we may need to seek additional funding through loans, equity investments, or strategic partnerships. Securing such financing is subject to various uncertainties, including our operational results, financial condition, cash flow, and broader economic, political, and market conditions in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obtain external financing is further influenced by factors such as China’s policies on foreign currency borrowings and the state of both domestic and international capital markets. The PBOC frequently adjusts the loan prime rate in response to macroeconomic conditions; such changes are beyond our control and difficult to predict. Changes in interest rates and market liquidity conditions could have an adverse impact on our earnings, cash flows and ability to secure financing, potentially affecting our business, financial condition, results of operations and prospects. A shortage of liquidity in the banking system or any other factor that results in our inability to access capital may further exacerbate these challenges.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our investments in our new energy business and product development depends on our ability to accurately align the timing and direction of these investments to meet market demand. To position ourselves and fast track market penetration of our products, we may seek to expand our existing customer base and invest in additional sales and distribution channels. These objectives may require significant additional investments and potentially require additional external funding. There can be no assurance that we will be able to obtain such external funding on commercially attractive terms, in a timely manner or at all. Relying on external funding sources introduces risks such as increased financial leverage, dilution of ownership, or dependency on third-party investors. These factors could impact our financial stability and operational flexibility.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associated with our joint ventures and strategic alliances.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joint ventures and strategic alliances with various third parties to further our business purpose, and we may do so in the future from time to time. The success of these endeavors depends on a variety of factors, including market conditions, the regulatory environment, technological advancements, and the performance of our business partners. We cannot guarantee that our joint ventures or strategic alliances will be successful, profitable, or achieve their intended objectives. If these joint ventures or strategic alliances fail to perform as expected, our financial condition, results of operations, and business prospects could be materially affected. These joint ventures and strategic alliances could subject us to a number of risks, including risks associated with sharing propriety information and non-performance by third parties, among others. For details of our strategic alliances, see “Item 4. Information on the Company — B. Business Overview — Joint Ventures and Strategic Alliances.”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our joint ventures or strategic alliances will be or will continue to be successful or profitable. We have recognized impairment losses in the past related to our investments in the joint ventures and may incur such losses again in the future due to market dynamics, underperformance of the joint ventures, or other external factors beyond our control. We review our investments in these joint ventures on an ongoing basis and may take such action as is deemed strategically appropriate including but not limited to divestment, restructuring, or changes in shareholding. Such actions could result in additional costs, write-downs, or other financial impacts. Furthermore, disagreements with partners over strategic direction, operational decisions, or financial commitments could disrupt operations or lead to the dissolution of partnerships, which could adversely affect our business and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Joint ventures and strategic alliances often involve shared control, which may limit our ability to unilaterally make decisions or implement changes. This could delay responses to market opportunities or challenges, putting us at a competitive disadvantage. The financial and operational risks associated with these partnerships are inherent, and we may not always be able to mitigate such risks effectively.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financial condition, results of operations, business or prospects may be adversely affected to the extent we are unable to continue our sales and investment growth.</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In 2024, our engine sales increased by 13.7% to 356,586 units, compared to 313,493 units in 2023. In 2025, our engine sales further increased by 29.4% to 461,309 units, compared to 356,586 units in 2024. While these increases reflect strong growth in recent periods, such growth may not be sustained in future periods, we cannot assure that we will be able to maintain or increase engine sales in the future. Our financial condition, results of operations, business or prospects are subject to sales growth of our original equipment manufacturers (“OEMs”) and fluctuations in demand from end users in the downstream industries we serve. Maintaining or increasing sales in line with our expanded production capacity may present challenges. Our future growth is also influenced by factors beyond our control</w:t>
      </w:r>
      <w:r>
        <w:rPr>
          <w:rFonts w:ascii="Times New Roman" w:hAnsi="Times New Roman"/>
          <w:color w:val="2B333D"/>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cannot assure you that we will be able to effectively manage any future growth,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securing necessary supplies, including the availability of raw materials and components, particularly in a volatile supply chain environment;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hiring, training and retaining skilled production workers and management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manufacturing and delivering products for increased orders in a timely manner;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quality standards and competitive pricing;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costs;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adequate funding on commercially reasonable terms for future expansion and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we have acquired in the past, and may acquire in the future, equity interests in engine parts suppliers and related business. If we are unable to effectively manage or assimilate these acquisitions, our financial condition, results of operations, business or prospects could be adversely affected.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dependent on our suppliers, some of whom are our single source suppliers, for the components they supply.</w:t>
      </w:r>
    </w:p>
    <w:p>
      <w:pPr>
        <w:pStyle w:val="TextBody"/>
        <w:bidi w:val="0"/>
        <w:spacing w:before="120" w:after="283"/>
        <w:jc w:val="both"/>
        <w:rPr>
          <w:rFonts w:ascii="Times New Roman" w:hAnsi="Times New Roman"/>
          <w:sz w:val="20"/>
        </w:rPr>
      </w:pPr>
      <w:r>
        <w:rPr>
          <w:rFonts w:ascii="Times New Roman" w:hAnsi="Times New Roman"/>
          <w:color w:val="000000"/>
          <w:sz w:val="20"/>
        </w:rPr>
        <w:t>Our engines contain parts or components that we purchase from external suppliers, and some of these suppliers serve as our single source for the relevant components. This dependency presents a significant risk, as any disruption in the supply chain, whether due to logistical issues, financial instability, or other unforeseen circumstances, could lead to delays or halts in our manufacturing activities.</w:t>
      </w:r>
      <w:r>
        <w:rPr>
          <w:rFonts w:ascii="Times New Roman" w:hAnsi="Times New Roman"/>
          <w:color w:val="242424"/>
          <w:sz w:val="20"/>
        </w:rPr>
        <w:t xml:space="preserve"> S</w:t>
      </w:r>
      <w:r>
        <w:rPr>
          <w:rFonts w:ascii="Times New Roman" w:hAnsi="Times New Roman"/>
          <w:color w:val="000000"/>
          <w:sz w:val="20"/>
        </w:rPr>
        <w:t>uch disruptions could adversely impact our ability to deliver orders and meet customer demands, potentially resulting in contractual defaults, lost revenue and increased costs. We generally do not enter into long-term agreements with our suppliers in order to maintain flexibility in our own procurement and sourcing processes. There can be no assurance that we would be able to successfully secure alternative suppliers or the necessary parts and components to meet our requirements on a timely basis, on acceptable terms or at all. Our dependence on single-source suppliers could lead to quality control challenges, higher costs and limited adoption of new technologies. The financial stability of these suppliers is also crucial, as their financial distress could significantly disrupt our supply chain. Additionally, changes in business conditions, force majeure, governmental changes and other factors beyond our control or which we do not presently anticipate, could also affect our suppliers’ ability to deliver components to us on a timely basis or at all. Any of the foregoing could materially and adversely affect our business, results of operations, financial condition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could be adversely affected by the disruption of supply or shortage of raw materials and components.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a sustained interruption in the supply or shortage of commodities, raw materials and other inputs used by us and our suppliers in our and their businesses and products, such as steel and semiconductor chips, which could adversely affect our future profitability or our ability to timely execute our business plan. For instance, the global semiconductor chip supply shortage in 2021 had wide-ranging effects across multiple industries, particularly the automotive industry. Similarly, supply chain disruptions caused by global health crises led to delayed deliveries and even order cancellations, which adversely affected our engine sales volumes and revenues. Disruptions in global supply chains or logistics, including those arising from regional conflicts, could also materially increase the cost of materials, components, and production overhead, and limit their availability. Any supply interruptions or shortage could materially and negatively impact our business, prospects, financial condition and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could be exposed to the impact of interest rates and foreign currency movements with respect to our future borrowings and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use borrowings from time to time to supplement our working capital requirements and to fund our continued business expansion plans. A portion of our borrowings may be structured on a floating rate basis and denominated in US dollar, Singapore dollar or Renminbi. Changes in prevailing market interest rates could increase the cost of our borrowing and make it more difficult to obtain financing necessary to meet our working capital and on favorable terms. Any fluctuations in interest rates, or fluctuations in exchange rates between the Renminbi or Singapore dollar and US dollar, may increase our funding costs or the availability of funding. This could affect our financial condition, results of operations, business or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financial condition, results of operations, business or prospects could also be adversely affected by a devaluation of the Renminbi. The value of the Renminbi is subject to changes in monetary policy in China and to international economic and political developments. Since we may not be able to hedge effectively against Renminbi or Singapore dollar fluctuations, future movements in the exchange rate of the Renminbi, the Singapore dollar and other currencies could have an adverse effect on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If prices of energy, raw materials or components increase, it may adversely affect our profitability or cause us to suffer operating losses.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processes and production activities are dependent on energy, raw materials, and various components, the prices of which are subject to significant volatility due to factors beyond our control, depending on market conditions and fluctuations in global demand. Rising prices of key components and key raw materials, as well as increases in energy prices (e.g., electricity, natural gas, and oil), could significantly elevate our production costs. Our ability to mitigate these risks by passing a portion of the increased costs onto consumers has been and in the future may be limited by, among other things, competitive pressures, contractual obligations, and customer resistance. In cases where we are unable to fully absorb or pass on rising costs, our profit margins would be compressed, potentially leading to reduced profitability or even operating losses.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increasingly stringent policies and regulations related to the environment, climate change, and employee health and safety.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and products must comply with national and local laws and regulations in China governing noise, air quality, soil contamination, wastewater discharge, and the treatment and disposal of hazardous and non-hazardous waste materials, employee health and safety, climate change and environmental protection. These regulations impose environmental taxes and fines for pollution and may require the closure of non-compliant facilities or the cessation of activities causing environmental damage. These laws and regulations may impose numerous obligations that are applicable to our operations, including acquisition of relevant permits or other approvals and imposition of significant liabilities for pollution or accidents arising from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authorities in China have steadily tightened mandatory standards for both on-road and off-road transportation to achieve environmental and climate objectives. For instance, the implementation of National VI and Tier-4 emission standards has required us to increase research and development expenditures to meet these evolving criteria. Furthermore, enhanced energy efficiency and resource consumption standard, intended to address climate and resource concerns are being implemented in the markets where our powertrains or vehicles with our powertrains are sold. There can be no assurance that Yuchai will be able to comply with future emission standards, climate-related mandates, or safety requirements, or that stricter regulations will not result in a material adverse effect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Non-compliance with these regulations would result in significant financial and reputational risks. Therefore, our ability to align with and proactively respond to government policies is fundamental to our continued success and sustainability in the dynamic powertrain market in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jurisdictions are adopting or considering new laws and regulations that expand mandatory disclosure, reporting and diligence requirements with respect to environmental, social and governance (“ESG”) matters. The ESG and sustainability landscape and expectations of investors, customers, employees and other stakeholders in this area continue to evolve due to new regulations and geopolitical developments. Compliance with these new rules along with any other anticipated ESG reporting rules may result in additional costs and operational complexities. Moreover, investors, lenders and other stakeholders (including those in support of or in opposition to ESG principles) may have a negative view of us to the extent we are perceived to have not responded appropriately to their ESG concerns or take positions that are contrary to their views or expectations. Failure to comply with present or future ESG regulations or to meet stakeholder expectations could harm our reputation, business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The adoption of more stringent emission standards may adversely affect our results of operations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manufacture of our engines is subject to regulations by the Ministry of Ecology and Environment of the People's Republic of China (“MEE”) and other authorities in China. Regulations in China have been steadily tightened for both on-road and off-road transportation in recent years, requiring compliance with stringent standards, including the mandatory implementation of National VI and Tier-4 emission standards. National VI and Tier-4 emission standards have adopted the latest internal combustion engine manufacturing technologies in China that Yuchai had developed and built up anew. These emission standards impose a series of emission tests, not only in the manufacturing processes but also ongoing emission tests on the road after engine installation.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engines involve technically complex manufacturing processes and require a supply of highly specialized component parts. For some products and component parts, we may also rely on a single source of supply. The combination of these factors means that supply is never guaranteed. If we or our third-party suppliers fail to comply fully with regulations, there could be a product recall or other shutdown or disruption of our production activities. There is no assurance that we will not experience supply interruptions in the future. The implementation of new standards may also reduce the supply or increase the price of components for certain of our existing engine models which could be sold for the export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failure or malfunctioning of the exhaust aftertreatment system would also trigger the engine monitoring system to shut down or reduce engine loading to idling speed, which may cause disruption of transportation or service of the vehicles, potentially inducing damages and leading to higher costs of warranty. Yuchai’s performance may be affected by any unexpected failure in these systems. Any of these issues could materially and adversely affect our business, results of operations, financial condition,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associated with being subject to trade control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may, from time to time, procure production equipment from overseas suppliers which could expose us to regulatory scrutiny, export control restrictions, or licensing requirements, particularly imposed by U.S. or European authorities. Failure to comply with these laws and regulations, whether due to oversight, misinterpretation, or changes in regulatory requirements, could result in significant penalties, fines or restrictions on our ability to import or use critical equipment. Additionally, geopolitical tensions or shifts in trade policies could further complicate our procurement processes, leading to delays, increased costs, or the inability to acquire necessary technology. Such disruptions could adversely affect our production capabilities, operational efficiency, and overall business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2022, Yuchai was placed on the Unverified List (“UVL”), which is a supplement to the Export Administration Regulations (“EAR”), promulgated by the Bureau of Industry and Security (“BIS”), in the Department of Commerce (the “U.S. Department of Commerce”). Entities are added to the UVL where the BIS is unable to verify the legitimacy and reliability relating to the end use or end users of items subject to the EAR because an end-use check, such as a pre-license check or a post-shipment verification cannot be completed satisfactorily for reasons outside the U.S. Government’s control. Yuchai was removed from the UVL in December 2022. We cannot guarantee that we or Yuchai or any of our other subsidiaries will not be included to the UVL or the BIS’ Entity List or Denied Persons List in the future. If we or any of our subsidiaries are placed on one of BIS’ lists in the future, we could face reputational harm, supply disruptions, restrictions or difficulties in dealing with business partners or obtaining banking facilities, or additional compliance requirements or costs, which could have significantly adverse impact on our business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Outbreaks of communicable diseases may materially and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risks related to health epidemics or outbreaks of communicable diseases. In general, our business has in the past been and, in the future, could be adversely affected by the outbreak of other communicable diseases. Such communicable diseases could result in a widespread health crisis that could adversely affect general commercial activity and the economies and financial markets of many countries, as well as our business,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Beginning in late 2019 and early 2020, the COVID-19 pandemic resulted in temporary closure of many manufacturing facilities and factories across China and the world, and our industry and many others experienced increased supply lead time, supply disruption and limited transport and shipment options from and to affected regions. Although the COVID-19 restrictions have been lifted, the lingering effects of the COVID-19 pandemic may continue to influence the economy and our business, and an outbreak of COVID-19 or other communicable diseases could occur again. Outbreaks of communicable diseases have led to, and in the future could lead to our factory closures, workforce shortages, supply chain disruptions, transportation disruptions or similar consequences. The duration of such business disruptions and their resulting financial and operational impacts cannot be predicted or reasonably estimated.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Our insurance coverage may not be adequate to cover risks related to our production and other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our insurance coverage for our buildings and equipment is at cost, which could be less than the replacement value. Similarly, the insurance coverage for our inventory is at book value, which could be less than the replacement value. In accordance with what we believe is customary practice among industrial equipment manufacturers in China, we insure our properties, equipment and inventories. The amount of insurance coverage for our facilities and inventory aligns with Chinese market practice but may expose us to risks in the event of a major accident where our insurance recovery may be inadequate.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carry public liability insurance to cover claims in respect of bodily injury and property damage to any third party arising from accidents on our property or relating to our operations. Furthermore, we maintain credit insurance to mitigate the risk of loss arising from the non-payment of trade receivables by certain customers. However, such coverage is subject to policy limits and exclusions, and there can be no assurance that our credit insurance will sufficiently protect us against significant customer defaults or a systemic downturn in the credit environment. We do not carry business interruption insurance as such coverage is not customary in China. Losses incurred or payments required to be made by us which are not fully insured could have a material adverse effect on our financial condition. </w:t>
      </w:r>
    </w:p>
    <w:p>
      <w:pPr>
        <w:pStyle w:val="TextBody"/>
        <w:bidi w:val="0"/>
        <w:spacing w:before="360" w:after="283"/>
        <w:jc w:val="both"/>
        <w:rPr>
          <w:rFonts w:ascii="Times New Roman" w:hAnsi="Times New Roman"/>
          <w:sz w:val="20"/>
        </w:rPr>
      </w:pPr>
      <w:r>
        <w:rPr>
          <w:rFonts w:ascii="Times New Roman" w:hAnsi="Times New Roman"/>
          <w:b/>
          <w:i/>
          <w:color w:val="000000"/>
          <w:sz w:val="20"/>
        </w:rPr>
        <w:t>Increases in labor costs and enforcement of stricter labor laws and regulations in China may adversely affect our business and our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average wage level in China, where most of our employees are located, has increased in recent years, and China-based manufacturing operations no longer have the cost competitive advantages that they had in the past. We expect that our labor costs, including wages and employee benefits, will continue to increase in the future in absolute terms and relative to the costs of operating in other countries and regions where labor costs are lower. Unless we are able to pass on these increased labor costs to those who pay for our services, our profitability and results of operations may be materially and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been subject to stricter regulatory requirements in terms of entering into labor contracts with our employees and limitation with respect to utilization of labor dispatching,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dependent on information technology and our systems and infrastructure face certain risks, including cybersecurity risks and data leakage risks. Any failure to comply with the various applicable laws and regulations related to data security and cybersecurity could lead to liabilities, penalties or other regulatory actions, which could have a material and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dependent on information technology systems and infrastructure to support our operations, manage data and conduct business activities. This dependence exposes us to certain risks, including cybersecurity threats and data leakage. We cannot be certain that advances in criminal capabilities such as cyberattacks, malware or exploitation of vulnerabilities in our or third-party systems, will not compromise or breach the technology protecting our systems or the systems and networks of third parties that access and store sensitive information about us, our customers or suppliers. Cyber threats like phishing and trojans could intrude into our or a third party’s network to steal data or to seek sensitive information about us or our customers or suppliers. Any intrusion into our or such third party’s network that results in any breach of security could cause damage to our reputation and adversely impact our business and financial results. A significant failure in security measures could have a material adverse effect on our business, reputation, results of operations and financial condition. Although we seek to implement measures to protect sensitive and confidential client data, there can be no assurance that we would be able to prevent breaches of security. There can be no assurance that our cybersecurity risk management program and processes, including our policies, controls and procedures and the cybersecurity risk management program, will be effective in protecting our systems and information. See also “Item 16K. Cybersecurity.”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significant part of our business and operations is conducted in China, we are subject to the PRC laws, rules and regulations, including those related to data security and cybersecurity. PRC regulators have intensified their focus on regulating data security and data protection, reflecting the growing importance of these areas in the digital economy. China has introduced a series of stringent laws and regulations, including the Cyber Security Law, the Data Security Law, and the Personal Information Protection Law (PIPL), which impose comprehensive requirements on data collection, storage, processing, transmission, and cross-border transfers. These regulatory frameworks mandate that companies implement robust data protection measures, conduct risk assessments and ensure compliance with data classification and grading standards. Additionally, businesses are required to report security incidents, obtain necessary approvals for data exports, and adhere to strict guidelines for handling sensitive and personal information. The evolving nature of these regulations means that compliance requirements are subject to change, and we must continuously monitor and adapt to new rules and enforcement practices. We believe that our existing practices are compliant with applicable requirements imposed under the foregoing laws, rules and regulations, including the regulations or policies that have been issued by the CAC, in all material respects. However, we cannot preclude the possibility that new laws, regulations or rules promulgated in the future will impose additional compliance requirements on us, will subject us to the cybersecurity or national security review in relation to our operations, or will require us to change our business practices or incur additional operating expenses, which may have material and negative impacts on our business, financial condition and prospects and the value of our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it is determined in the future that any additional procedures, including the cybersecurity review under the Cybersecurity Review Measures and national security review under the Network Data Security Regulations, are required for our offshore offerings, it is uncertain whether we can or how long it will take us to obtain such approval or complete such filing procedures and any such approval or filing could be rescinded or rejected. CAC and/or other PRC regulation and oversight of cybersecurity, data protection and other technology-related matters that the PRC government deems to relate to national security could impact our ability to conduct, or the timing of, our future offerings. In addition, given the current regulatory environment in the PRC, there remains uncertainty regarding the interpretation and enforcement of PRC laws, including the foregoing relevant laws and regulations issued by the CAC, which can change quickly and with little advance notice. See “— General Risk Factors — Changes in and uncertainties relating to political or social conditions, government policies or regulations in China could have a material and adverse effect on our business and results of operations” for more details.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from incorporation of artificial intelligence technologies into our products, manufacturing processes and business operations, as well as potential challenges associated with the implementation of such technologies could adversely affect our operations, reputation and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and expect to continue to use, artificial intelligence and machine learning technologies (collectively, “AI”) in our business operations, including in our manufacturing, research and development, product development, supply chain management and quality assurance processes and in our digital operational infrastructure. The use of AI in our operations and products carries inherent risks. AI systems may produce outputs that are inaccurate, incomplete, inappropriate or biased, including recommendations, predictive analytics, diagnostic conclusions, or control decisions. Errors in AI-generated outputs that are incorporated into our products, manufacturing decisions or customer service systems could result in product liability claims, customer dissatisfaction, reputational harm, or regulatory action. The use of AI in connected vehicle and smart machinery applications may also raise questions of product safety and regulatory compliance, particularly as PRC and international regulatory frameworks governing AI in transportation and industrial applications continue to evolve.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use of AI may expose us to risks of data leakage, cybersecurity incidents and unauthorized access to confidential business information, customer data, technical know-how and other proprietary information. AI systems are typically trained and operated using large volumes of data, and any breach or unauthorized access to the data used in our AI systems could have consequences that extend beyond conventional cybersecurity incidents. In addition, the use of third-party AI tools or platforms in our operations creates a risk that confidential business information, technical data or personal data may be inadvertently disclosed to third-party AI service providers or exposed through such providers’ systems. Any such incident could result in legal liability, regulatory penalties, loss of intellectual property, and reputational harm.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regulatory environment governing AI is dynamic and rapidly evolving in China and globally. Compliance with existing and future AI regulations may require significant resources and could require us to modify our products, platforms or operational processes. There can be no assurance that our current practices will remain compliant with applicable AI regulations as they evolve, or that regulatory action will not be taken against us in respect of our AI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adequately protect our intellectual property rights, and any failure to protect our intellectual property rights could adversely affect our revenues and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Yuchai’s intellectual property portfolio comprises invention patents, utility model patents, design patents, proprietary technology know-how, software copyrights and capitalized development costs. Notwithstanding our anti-counterfeiting procedures and third-party enforcement services, we may be unable to prevent the unauthorized copying or use of our proprietary technologies. Our patents may be held invalid or unenforceable by competent authorities or courts, and competitors may be able to design around our patents or independently develop comparable technologies or products without infringing our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GY is the registered owner of the “Yuchai” trademarks in China, which are the principal trademarks under which Yuchai conducts its business. Yuchai uses these trademarks pursuant to a license agreement with GY. In the event of any dispute with GY regarding the terms of the license agreement or GY’s ownership or maintenance of the trademarks, Yuchai’s right to use the “Yuchai” trademarks could be challenged, curtailed or terminated. Any such challenge or termination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Monitoring the unauthorized use of our proprietary technology is inherently difficult and costly. We may be required to resort to litigation to enforce or defend our intellectual property rights, to protect our trade secrets, or to determine the enforceability, scope and validity of our proprietary rights or those of third parties. Any such litigation, whether or not resolved in our favor, could result in substantial costs, diversion of management time and resources, and harm to our reputation. An adverse determination in any such proceeding could impair our ability to compete effectively and could have a material adverse effect on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depends substantially on the continuing efforts of our key employees and qualified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highly dependent on our executive officers and senior management, as well as our research and development and sales and marketing personnel. Recruiting and retaining qualified personnel is critical to our success. The loss of the services of our executive officers or other key employees could impede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commercialize products and services. Competition to hire from this limited pool is intense, and we may be unable to hire, train, retain or motivate these key personnel. The failure to attract, integrate, train, motivate and retain these personnel could adversely affect our business, financial condition or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We and our subsidiaries have implemented and may implement equity incentive plans to attract, retain, and motivate management and employees, which could have a dilutive effect on your investment in us and our interests in our subsidiaries.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an equity incentive plan to attract and retain eligible directors, officers and employees of our Company. Pursuant to the 2025 Equity Incentive Plan adopted in May 2025, the maximum aggregate number of 1,800,000 shares may be issued, in whole or in part, from authorized and unissued shares, treasury shares (subject to applicable laws), or shares purchased on the open market. The issuance of these stock-based awards may dilute an investment in our shares. Our stock price may also face incremental downward pressure if plan participants sell more shares into the market. See “Item 6. Directors, Senior Management and Employees — E. Share Ownership.” Certain of our subsidiaries have also adopted, or may in the future adopt, their own equity incentive plans to attract, retain, and motivate their management and key personnel. The implementation and operation of these subsidiary equity incentive plans could dilute our ownership interest in the relevant subsidiaries as equity awards are granted by the subsidiaries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interest in our subsidiaries could be diluted by the implementation and operation of any equity incentive plans by these subsidiaries. Any shares reserved under any such subsidiary plan, if and when issued, could reduce our ownership interest in that subsidiary. The issuance of these shares by a subsidiary of ours could cause our share of the earnings of the affected subsidiary to be reduced, which could adversely impact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risks related to the PRC authorities’ investigatory actions against and the alleged misconduct of certain former directors and senior management personnel of us and our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and October 2025, we were informed that Ms. Qin Xiaohong (“Qin Xiaohong”), then Chief Accountant of Yuchai, and Mr. Wu Qiwei (“Wu Qiwei”), then Director of CYI and then Director and President of Yuchai, were under detention and investigation by PRC authorities. Qin Xiaohong’s position as Yuchai’s Chief Accountant was terminated by Yuchai’s Board of Directors in August 2025. Wu Qiwei resigned as a Director and the President of Yuchai and as a Director of CYI in October and November 2025. As of the date of this Annual Report, the investigations of Qin Xiaohong and Wu Qiwei are on-going. In addition, it has been reported that in July 2025 the former deputy party secretary and chairman of the board of directors of GY, Mr. Yan Ping (“Yan Ping”), was subject to disciplinary review and investigation by the Discipline Inspection Commission of Guangxi Zhuang Autonomous Region’s Communist Party Committee and the Supervisory Commission of Guangxi Zhuang Autonomous Region (the “Disciplinary Authorities”) on suspicion of serious disciplinary and legal violations. Subsequently in February 2026, based on the announcement made by the Disciplinary Authorities, Yan Ping’s case was transferred to the procuratorate for review and prosecution in accordance with the PRC laws. Yan Ping was a former Director of CYI and former Chairman of Yuchai, and he retired from these positions in 2021. We have limited knowledge of the status or scope of the on-going investigations against these individuals by PRC authorities and cannot predict the determinations and conclusions that the relevant authorities will reach. The business and affairs of Yuchai continue to be led by Mr. Li Hanyang, the Chairman of Yuchai’s Board of Directors and daily business operations continue to proceed uninterrupted.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conduct training and maintain corporate governance policies and procedures designed to detect and prevent misconduct by our directors, senior management and employees, we cannot assure you that we will be able to prevent or detect instances of alleged personal misconduct in a timely fashion or at all. If we fail to prevent or detect such actions, our reputation may be harmed, and our business, financial condition and results of operations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maintain a succession planning program across key management roles, leadership transitions resulting from any unexpected departure of key personnel could create institutional knowledge gaps and may disrupt the execution of our strategic priorities. Any failure to successfully implement or optimize these succession protocols could result in disruptions to leadership continuity and the destabilization of our relationships with key suppliers and customers.</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continues to be volatility in the market price of our common stock. See “Item 9. The Offer and Listing.” The market price could fluctuate substantially in the future in response to a number of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general economic conditions, escalation or continuation of trade tensions, heightened policy uncertainty especially regarding trade, financial market disruptions amid global financing conditions, and heightened geopolitical tensions globally and regionally, and the resulting volatility in market sentiment;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expectations, speculation and uncertainties regarding the potential listing of our subsidiary;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operating results whether audited or unaudited;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public’s reaction to our press releases and announcements and our filings with the SEC;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financial estimates or recommendations by stock market analysts regarding us, our competitors or other companies that investors may deem comparable;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and stock price performance of our competitors or other companies that investors may deem comparable;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economic, and social conditions in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negative perceptions about corporate governance or accounting practices at listed companies with significant operations in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China’s initiatives to develop energy saving and new energy power systems, which may lead to a decrease in demand for our diesel engines that affects our market share and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sales or repurchases of our common stock in the public market, or the perception that such sales or repurchase could occur;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announcements by us or our competitors of a significant acquisition, divestment, corporate exercise or change of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above factors either individually or together may result in market fluctuations which may materially affect our stock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previously identified material weaknesses in our internal control over financial reporting and cannot assure you that material weaknesses will not be identified in the future. Our failure to implement and maintain effective internal control over financial reporting could result in material misstatements in our financial statements which could require us to restate financial statements in the future, or cause us not to be able to provide timely financial information, which may cause investors to lose confidence in our reported financial information and have a negative effect on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reported material weaknesses in our internal control over financial reporting as of December 31, 2005 to 2011, and our management concluded that our disclosure controls and procedures and our internal control over financial reporting were not effective for that period. Since the year ended December 31, 2012, we have not identified any material weaknesses in our internal control over financial reporting. Our management concluded that our disclosure controls and procedures and our internal control over financial reporting were effective for the financial years ended December 31, 2012 to 2025. See “Item 15. Controls and Procedures.” Our independent registered public accounting firm has expressed an unqualified opinion on the effectiveness of our internal control over financial reporting for the financial years ended December 31, 2012 to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assure you that material weaknesses or significant deficiencies in our internal control over financial reporting will not be identified in the future. Any failure to maintain or improve existing controls or implement new controls could result in material weaknesses or significant deficiencies and cause us to fail to meet our periodic reporting obligations, which in turn could cause our shares to be delisted or suspended from trading on the New York Stock Exchange, or NYSE. In addition, any such failure could result in material misstatements in our financial statements and require us to restate our financial statements and adversely affect the results of annual management evaluations regarding the effectiveness of our internal control over financial reporting. Any of the foregoing could cause investors to lose confidence in our reported financial information, leading to a decline in our share price. </w:t>
      </w:r>
    </w:p>
    <w:p>
      <w:pPr>
        <w:pStyle w:val="TextBody"/>
        <w:bidi w:val="0"/>
        <w:spacing w:before="360" w:after="283"/>
        <w:jc w:val="both"/>
        <w:rPr>
          <w:rFonts w:ascii="Times New Roman" w:hAnsi="Times New Roman"/>
          <w:sz w:val="20"/>
        </w:rPr>
      </w:pPr>
      <w:r>
        <w:rPr>
          <w:rFonts w:ascii="Times New Roman" w:hAnsi="Times New Roman"/>
          <w:b/>
          <w:i/>
          <w:color w:val="000000"/>
          <w:sz w:val="20"/>
        </w:rPr>
        <w:t>As an exempted company incorporated under Bermuda law, our operations may be subject to economic substance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Economic Substance Act 2018 and the Economic Substance Regulations 2018 of Bermuda (the “Economic Substance Act” and the “Economic Substance Regulations”, respectively) became operative on December 31, 2018. The Economic Substance Act applies to every registered entity in Bermuda that engages in a relevant activity and requires that every such entity shall maintain a substantial economic presence in Bermuda. Relevant activities for the purposes of the Economic Substance Act include, among other things, conducting business as a holding entity, which may include a pure equity holding entity. The Economic Substance Regulations provide that minimum economic substance requirements shall apply in relation to an entity if the entity is a pure equity holding entity, which is an entity which as its primary function acquires and holds shares or an equitable interest in other entities, performs no commercial activity and which (a) holds the majority of the voting rights in another entity; (b) is a shareholder, member or partner in another entity and has the right to appoint or remove a majority of the board of directors, managers or equivalent of that other entity; or (c) is a shareholder, member or partner in another entity and controls alone, under an agreement with others, a majority of the voting rights in that other entity. The minimum economic substance requirements include (a) compliance with applicable corporate governance requirements set forth in, among others, the Bermuda Companies Act 1981 including keeping records of account, books and papers and financial statements; and (b) submission of an annual economic substance declaration form. However, the economic substance requirements do not apply to an entity which is a tax resident of a jurisdiction outside of Bermuda, provided that the jurisdiction is not in the EU list of non-cooperative jurisdictions for tax purposes. If we fail to comply with our obligations under the Bermuda Economic Substance Act or any similar law applicable to us in any other jurisdictions, we could be subject to financial penalties and spontaneous disclosure of information to foreign tax officials in related jurisdictions and may be struck from the register of companies in Bermuda or such other jurisdiction. Any of these actions could have a material adverse effect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2020, our Board of Directors, having considered the Bermuda economic substance legislation as well as the Company’s presence and substance in Singapore through our Singapore Branch office, approved for the Company to establish its tax residency in Singapore. The Company has been a tax resident in Singapore for Singapore income tax purposes since 2020. Our Singapore tax residency status is to be self-assessed on a yearly basis if our management control is exercised in Singapore for the preceding calendar year. If the Company is not a tax resident of a jurisdiction outside of Bermuda (other than a jurisdiction which is on the EU list of non-cooperative jurisdictions for tax purposes), we may be subject to economic substance requirements under Bermuda’s Economic Substance Act, Economic Substance Regulations and/or any new economic substance regulations adopted in Bermuda. We may be subject to penalties if the Company or any of its subsidiaries fail to comply with the applicable economic substance laws in Bermuda or any other jurisdiction.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classified as a passive foreign investment company, which could result in adverse United States federal income tax consequences to U.S. 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non-United States corporation is considered a passive foreign investment company, or PFIC, for United States federal income tax purposes for any taxable year if either (1) at least 75% of its gross income is passive income or (2) at least 50% of the total value of its assets (based on an average of the quarterly values of the assets during a taxable year) is attributable to assets that produce or are held for the production of passive income. For this purpose, the total value of our assets generally will be determined by reference to the market price of our shares. We believe that our shares should not be treated as stock of a PFIC for United States federal income tax purposes for the taxable year that ended on December 31, 2025. However, there is no guarantee that the United States Internal Revenue Service will not take a contrary position or that our shares will not be treated as stock of a PFIC for any future taxable year. Our PFIC status will be affected by, among other things, the market value of our shares and the assets and operations of our Company and subsidiaries. If we were to be treated as a PFIC for any taxable year during which a U.S. Holder (defined below) holds our shares, certain adverse United States federal income tax consequences could apply to the U.S. Holder. See “Item 10. Additional Information — C. Taxation — United States Federal Income Taxation — PFIC Rules.” </w:t>
      </w:r>
    </w:p>
    <w:p>
      <w:pPr>
        <w:pStyle w:val="TextBody"/>
        <w:bidi w:val="0"/>
        <w:spacing w:before="360" w:after="283"/>
        <w:jc w:val="both"/>
        <w:rPr>
          <w:rFonts w:ascii="Times New Roman" w:hAnsi="Times New Roman"/>
          <w:sz w:val="20"/>
        </w:rPr>
      </w:pPr>
      <w:r>
        <w:rPr>
          <w:rFonts w:ascii="Times New Roman" w:hAnsi="Times New Roman"/>
          <w:b/>
          <w:i/>
          <w:color w:val="000000"/>
          <w:sz w:val="20"/>
        </w:rPr>
        <w:t>The HLGE Group’s hotel ownership and management business may be adversely affected by risks inherent in the hotel industry.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HLGE Group operates Copthorne Hotel Cameron Highlands (“CHCH”), a hotel in Cameron Highlands, Malaysia. As of February 27, 2026, we had a 49.1% shareholding interest in HLGE, a company listed on the Main Board of the Singapore Exchange Securities Trading Limited (the “Singapore Exchange”). See “Item 5. Operating and Financial Review and Prospects — Business Expansion and Diversification Plan” for further information on our investment in HLGE.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HLGE Group’s financial performance is dependent on the performance of the hotel it operates. The HLGE Group’s hotel ownership and management business is exposed to risks which are inherent in and/or common to the hotel industry and which may adversely affect the HLGE Group’s financial performance,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occupancy rates;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to the international, regional and local economic climate and market conditions (including but not limited to changes to regional and local populations, changes in travel patterns and preferences, and oversupply of or reduced demand for hotel rooms that may result in reduced occupancy levels and performance for the hotels it operates);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to the political, economic, legal or social environments of the countries in which the HLGE Group operates (including developments with respect to inflation or deflation, interest rates, currency fluctuations, governmental policies, real estate laws and regulations, taxation, fuel costs, expropriation, including the impact of the current global financial crisis);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threat of terrorism, terrorist events, airline strikes, hostilities between countries, effects of climate change or increased risk of natural disasters or viral epidemics that may affect travel patterns and reduce the number of travelers and tourists;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laws and governmental regulations (including those relating to the operation of hotels, preparation and sale of food and beverages, occupational health and safety working conditions and laws and regulations governing its relationship with employees);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from other international, regional and independent hotel companies, some of which may have greater name recognition and financial resources than the HLGE Group (including competition in relation to hotel room rates, convenience, services or amenities offered);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losses arising out of damage to CHCH, where such losses may not be covered by the insurance policies maintained by the HLGE Group;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increases in operating costs, labor costs (including the impact of unionization), workers’ compensation and health-care related costs, utility costs, insurance and unanticipated costs such as acts of nature and their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foreign currencies arising from the HLGE Group’s various currency exposures;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dependence on leisure travel and tourism;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effects of a downturn in the hospitality industry, including the impact due to communicable diseases.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above factors may materially affect the performance of CHCH and the profitability and financial condition of the HLGE Group. There can be no assurance that we will not suffer any losses arising from our investment in HLGE.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Corporate Structure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financial condition, results of operations, business and prospects may be adversely affected if we are unable to implement the Reorganization Agreement and the Cooperation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own 76.4% of the outstanding shares of Yuchai, and one of our primary sources of cash flow continues to be our share of the dividends, if any, paid by Yuchai and investment earnings thereon. As a result of the agreement reached with Yuchai and its related parties pursuant to the July 2003 Agreement, we discontinued legal and arbitration proceedings initiated by us in May 2003 relating to difficulties with respect to our investment in Yuchai. In furtherance of the terms of the July 2003 Agreement, we, Yuchai and Coomber Investments Limited, or Coomber, entered into the Reorganization Agreement in April 2005, as amended in December 2005 and November 2006, and agreed on a restructuring plan intended to be beneficial to our shareholders. Coomber is wholly owned by Goldman Industrial Limited which in turn is a wholly-owned subsidiary of GY which in turn is a majority-owned subsidiary of the State-owned Assets Supervision and Administration Commission of the People’s Government of Guangxi Zhuang Autonomous Region. The Reorganization Agreement provides for the implementation of corporate governance guidelines approved by the directors and shareholders of Yuchai in November 2002 and outlines steps for the adoption of corporate governance practices at Yuchai conforming to international custom and practice.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Reorganization Agreement was scheduled to terminate on June 30, 2007. On June 30, 2007, we, along with Yuchai, Coomber and GY, entered into the Cooperation Agreement. The Cooperation Agreement amends certain terms of the Reorganization Agreement and, as so amended, incorporates the terms of the Reorganization Agreement. The Reorganization Agreement, as amended, and the Cooperation Agreement continue to be in force and effect. Pursuant to the amendments to the Reorganization Agreement, the Company agreed that the restructuring and spin-off of Yuchai would not be effected, and, recognizing the understandings that have been reached between the Company and GY to jointly undertake efforts to expand the business of Yuchai, the Company will not seek to recover the anti-dilution fee of US$20 million that was due from Yuchai. For more information on these agreements see “Item 4. Information on the Company — A. History and Development of the Company.” No assurance can be given as to when the business expansion requirements relating to Yuchai as contemplated by the Reorganization Agreement and the Cooperation Agreement will be fully implemented, or that implementation of the Reorganization Agreement and the Cooperation Agreement will effectively resolve all of the difficulties faced by us with respect to our investment in Yuchai.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Reorganization Agreement as amended by the Cooperation Agreement contemplates the continued implementation of our business expansion and diversification plan adopted in February 2005. The Cooperation Agreement provides that the parties will explore new business opportunities and ventures with a view to diversifying and expanding the assets, business divisions, sources of revenue and operations of Yuchai. Subsequently, we acquired strategic stakes in HLGE and Thakral Corporation Ltd, or TCL (which we have since fully divested). In addition, Yuchai has entered into various joint ventures and strategic alliances with various third parties to further our business purpose. For more details, see “ — We are subject to risks associated with our joint ventures and strategic alliances.”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Nonetheless, no assurance can be given that we will be able to successfully expand and diversify our business. We may also not be able to continue to identify suitable acquisition opportunities, secure funding to consummate such acquisitions or successfully integrate such acquired businesses within our operations. Any failure to implement the terms of the Reorganization Agreement and Cooperation Agreement, including our continued expansion and diversification, could have a material adverse effect on our financial condition, results of operations, business or prospects. Additionally, although the Cooperation Agreement amends certain provisions of the Reorganization Agreement and also acknowledges the understandings that have been reached between us and GY to jointly undertake efforts to expand and diversify the business of Yuchai, no assurance can be given that we will be able to successfully implement those efforts or as to when the transactions contemplated therein will be consummated.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controlling shareholder’s interests may differ from those of our other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February 27, 2026, our controlling shareholder, Hong Leong Asia Ltd., or Hong Leong Asia, indirectly owns 18,270,965 or 48.70% of the outstanding shares of our common stock, as well as a special share that entitles it to elect a majority of our directors. Hong Leong Asia controls us through its wholly-owned subsidiary, Hong Leong (China) Limited, or Hong Leong China, and through HL Technology Systems Pte Ltd, or HL Technology, a wholly-owned subsidiary of Hong Leong China. HL Technology owns 25.38% of the outstanding shares of our common stock and has, since August 2002, been the registered holder of the special share. Hong Leong Asia also owns, through another wholly-owned subsidiary, Well Summit Investments Limited, 23.32% of the outstanding shares of our common stock as of February 27, 2026. Hong Leong Asia is a member of the Hong Leong Investment Holdings Pte. Ltd., or Hong Leong Investment group of companies. Prior to August 2002, we were controlled by Diesel Machinery (BVI) Limited, or Diesel Machinery, which, until its dissolution, was a holding company controlled by Hong Leong China and was the prior owner of the special share. Through HL Technology’s stock ownership and the rights accorded to the Special Share under our Bye-Laws and various agreements among shareholders, Hong Leong Asia is able to effectively approve and effect most corporate transactions. See “Item 7. Major Shareholders and Related Party Transactions — B. Related Party Transactions — Shareholders Agreement.” In addition, our shareholders do not have cumulative voting rights. There can be no assurance that Hong Leong Asia’s actions will be in the best interests of our other shareholders. See also “Item 7. Major Shareholders and Related Party Transactions — A. Major Shareholders.”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experience a change of control as a result of sale or disposal of shares of our common stock by our controlling shareholders.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above, HL Technology, a subsidiary of Hong Leong Asia, owns 9,520,251 shares of our common stock, as well as the special share. If HL Technology reduces its shareholding to less than 7,290,000 shares of our common stock, our Bye-Laws provide that the special share held by HL Technology will cease to carry any rights, and Hong Leong Asia may as a result cease to have control over us. See “Item 7. Major Shareholders and Related Party Transactions — A. Major Shareholders — The Special Share.” If HL Technology sells or disposes of the special share or reduces its shareholding to less than 7,290,000 shares of our common stock, we cannot determine what control arrangements will arise as a result of such sale or disposal (including changes in our management arising therefrom), or assess what effect those control arrangements may have, if any, on our financial condition, results of operations, business, prospects or share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certain of our financing arrangements have covenants requiring Hong Leong Asia to retain ownership of the special share and that we remain a principal subsidiary (as defined in such arrangements) of Hong Leong Asia. A breach of that covenant may require us to pay all outstanding amounts under those financing arrangements. There can be no assurance that we will be able to pay such amounts or obtain alternate financing. </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in the past experienced and may in the future experience disagreements and difficulties with the shareholders in Yuchai.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own 76.4% of the outstanding shares of Yuchai, and believe we have proper legal ownership of our investment and a controlling financial interest in Yuchai, in the event there is a dispute with Yuchai’s shareholders regarding our investment in Yuchai, we may have to rely on law for remedies. We have in the past experienced problems from time to time in obtaining assistance and cooperation of Yuchai’s shareholders in the daily management and operation of Yuchai. We have in the past also experienced problems from time to time in obtaining the assistance and cooperation of the GY Group in dealing with various matters, including the implementation of corporate governance procedures, the payment of dividends, the holding of Yuchai board meetings and the resolution of employee-related matters. Examples of these problems are described elsewhere in this Annual Report. The July 2003 Agreement, the Reorganization Agreement and the Cooperation Agreement are intended to resolve certain issues relating to our share ownership in Yuchai and the continued corporate governance and other difficulties which we have had with respect to Yuchai. As part of the terms of the Reorganization Agreement, Yuchai agreed that it would seek the requisite shareholder approval prior to entering into any material transactions (including any agreements or arrangements with parties related to Yuchai or any of its shareholders) and that it would comply with its governance requirements. Yuchai also acknowledged and affirmed the Company’s continued rights as majority shareholder to direct the management and policies of Yuchai through Yuchai’s Board of Directors. Yuchai’s Articles of Association have been amended and such amended Articles of Association as approved by the Guangxi Department of Commerce on December 2, 2009, entitle the Company to elect nine of Yuchai’s thirteen directors, thereby reaffirming the Company’s right to effect all major decisions relating to Yuchai. While Yuchai has affirmed the Company’s continued rights as Yuchai’s majority shareholder and authority to direct the management and policies of Yuchai, no assurance can be given that disagreements and difficulties with Yuchai’s management and/or Yuchai’s Chinese shareholders will not recur, including in relation to the implementation of the Reorganization Agreement and the Cooperation Agreement, corporate governance matters or related party transactions. Such disagreements and difficulties could ultimately have a material adverse impact on our consolidated financial position, results of operations and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face risks associated with our subsidiary being a standalone public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Guangxi Yuchai Marine and Genset Power Co., Ltd. (“MGP”), an indirect subsidiary of our Company, filed an application with The Stock Exchange of Hong Kong Limited (the “Hong Kong Stock Exchange” or “HKEX”) in connection with a proposed listing (the “Potential Listing”) of MGP’s shares on the Main Board of the Hong Kong Stock Exchange. The Potential Listing is subject to review and approval by the HKEX and other relevant regulatory authorities and market conditions. There is no assurance as to whether or when the Potential Listing will take place. Any potential listing of MGP or our other subsidiary would be subject to numerous uncertainties, including internal approvals, market conditions, regulatory requirements, and the approval of relevant authorities and exchanges in the applicable jurisdiction.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the Potential Listing will reduce our interest in MGP, we expect to remain an indirect controlling shareholder of MGP after completion of the Potential Listing. We may from time to time make strategic decisions that we believe are in the best interests of our business and shareholders as a whole, which may create conflicts of interest with MGP’s other shareholders. We may not be able to resolve all potential misalignments in interests and the existence of such misalignments may affect our results of operations as a whole. There can be no assurance that a potential separate listing of a subsidiary would enhance our shareholder value. Market conditions, investor demand, valuation considerations, and the performance of the subsidiary following any listing could materially affect the perceived benefits of such transaction. If a listing is completed and the market performance of the subsidiary’s shares is weaker than expected, it could adversely affect investor perception of our Group and our overall valuation.</w:t>
      </w:r>
    </w:p>
    <w:p>
      <w:pPr>
        <w:pStyle w:val="TextBody"/>
        <w:bidi w:val="0"/>
        <w:spacing w:before="360" w:after="283"/>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Geopolitical tensions and regional conflicts may materially and adversely affect our business,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Heightened geopolitical instability, including the conflict in the Middle East, and resulting disruptions in supply chains and logistics networks, could materially increase the cost of materials and components, raise production overhead, and adversely affect our profitability and results of operations. Disruptions to key shipping routes, energy supplies and global trade flows could lead to delays in the procurement and transportation of critical inputs, increase freight and insurance costs, and create volatility in commodity and energy prices.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Geopolitical escalation could trigger broader economic sanctions, capital market restrictions, or forced business interruptions affecting companies with substantial PRC operations, including us. Any such escalation could also lead to reduced investor confidence in securities issued by companies such as ours, which are NYSE-listed with significant assets in and revenues from China. Prolonged or escalating geopolitical tensions could further strain global supply chains and reduce market stability, which may negatively affect our production planning, operating costs and overall financial performance. We cannot predict the likelihood, timing or extent of any such escalation or its consequences for our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International trade policies and regulations dynamics may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expose us to the risk that increased trade protectionism will adversely affect our business. In the United States, there is significant uncertainty about the future relationship between the United States and other exporting countries, including with respect to trade policies, treaties, government regulations and tariffs. Any increased trade barriers or restrictions on trade, especially trade with China, could depress economic activities and restrict our access to suppliers or customers and have a material adverse effect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Political tensions between the U.S. and China have escalated due to, among other things, tariff policies, trade disputes, sanctions imposed by the U.S. on certain officials of the Hong Kong Special Administrative Region and the central government of the PRC, U.S. export restrictions regarding China, restrictions on U.S. investments in designated “Communist Chinese Military Companies,” and the executive orders issued by U.S. President Donald J. Trump that seek to prohibit certain transactions certain companies. In addition, the PRC government has enacted countermeasures legislation.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financial condition, results of operations and prospects. Furthermore, there have been media reports on deliberations within the U.S. government regarding potentially limiting or restricting companies with operations in the PRC from accessing U.S. capital markets. If any such deliberations were to materialize, the resulting legislation may have a material and adverse impact on the stock performance of issuers with operations in the PRC listing in the U.S. It is unclear if this proposed legislation would be enacted.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government has imposed (in certain cases, subject to deferral) significant tariffs on imports from certain jurisdictions including China, and other jurisdictions have responded, with retaliatory punitive actions, including tariffs on U.S. imports. Historically, tariffs and trade disputes have led to increased political tensions, between the U.S. and China, as well as between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and companies such as ours with significant operations in China, which in turn could affect the global macroeconomic environment. Any such geopolitical developments could materially and adversely affect the price of our ordinary shares.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Changes in and uncertainties relating to political or social conditions, government policies or regulations in China could have a material and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all of our assets are located in China, and substantially all of our revenue is derived from our operations in China. Accordingly, our results of operations, financial condition and prospects are influenced by economic, political and legal developments in China. The PRC government exercises significant control over China’s economy through strategically allocating resources,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Any adverse changes in economic conditions, policies, laws or regulations in China could have a material adverse effect on our business and operating results, lead to reduction in demand for our products and adversely affect our competitive position, result in a material change in our operations, significantly limit or hinder our ability to offer securities to investors or cause the value of our securities to decline or become worthless.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significant part of our business is conducted in China, our business is subject to PRC laws, rules and regulations, which can change quickly and with little advance notice. See “— Uncertainties in the interpretation and enforcement of PRC laws and regulations could limit the legal protections available to you and us” for more details. We face uncertainties in terms of enforcement of PRC laws, regulations and rules, which may lead to difficulties in complying with applicable regulatory requirements and availing legal protections available to us. These uncertainties could materially and adversely affect our ability to enforce the contracts we have entered and our business and results of operations, including any rights under the Reorganization Agreement and Cooperation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PRC government can exercise influence over the conduct of business in China as the government deems appropriate, including to further regulatory, political and/or social goals. Furthermore, the PRC government may choose to exert close oversight over securities offerings and other capital markets activities that are conducted overseas and foreign investment in China-based companies. See also “— Securities offerings that we may conduct in the future may be subject to the approval, filing or other administration requirements of the China Securities Regulatory Commission, or the CSRC, the Cyberspace Administration of China, or the CAC, or other PRC governmental authorities, and we cannot assure you that we will be able to obtain such approval, satisfy such requirements or complete such filings” for more details. Any such influence oversight or discretion could adversely affect our business, financial condition and results of operations and the value of our securities, including those that we may offer for sale in the future, or significantly limit or completely hinder our ability to offer securities to investors and cause the value of our securities to significantly decline or become worthless.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negatively impact our income tax provision and net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tax laws or tax rulings, or changes in interpretations of existing tax laws, could affect our income tax provision and net income. There is a high level of uncertainty in today’s tax environment stemming from both global initiatives put forth by the Organisation for Economic Co-operation and Development (the “OECD”) and unilateral measures being implemented by various countries due to a historic lack of consensus on these global initiatives. As an example, the OECD has put forth two proposals – Pillar One and Pillar Two – that revise the existing profit allocation and nexus rules (profit allocation based on location of sales versus physical presence) and ensure a minimal level of taxation, respectively. Model rules were published by the OECD to implement the Pillar Two rules and commentary to the Pillar Two model rules were also released. The model rules and commentary allow the OECD’s Inclusive Framework members to begin implementing the Pillar Two rules. These changes, when enacted by various countries in which we do business, may increase our taxes in these countries. The Pillar Two rules have been implemented, or are in the process of being implemented, in a number of jurisdictions in which we conduct business including Singapore but not in China. We are subject to Pillar Two rules, however, the ultimate impact of any such changes on our tax obligations is uncertain.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Trump administration has proposed a number of changes to the U.S. tax system and adopted tax legislation that, among other things, made permanent certain provisions of the 2017 Tax Cuts and Jobs Act, such as the limitations on the deductibility of business interest expense, while the standard corporate tax rate of 21% remained unchanged. The effect of these tax laws on our operations and tax liabilities is unclear and could be material. As these and other tax laws and related regulations change, we are unable to predict which, U.S. tax reform proposals will be enacted into law, and what effects any enacted legislation might have on our tax liabilities. The Trump administration has also indicated that the United States may impose retaliatory measures with respect to jurisdictions that have, or are likely to, put in place tax rules that are extraterritorial or disproportionately affect American companies. The likelihood of these changes being enacted or implemented is unclear. We are currently unable to predict whether such changes will occur and, if so, the ultimate impact on our business. To the extent that such changes have a negative impact on us, our suppliers or our consumers, including as a result of related uncertainty, these changes may materially and adversely impact our business, financial condition, results of operations and cash flow. </w:t>
      </w:r>
    </w:p>
    <w:p>
      <w:pPr>
        <w:pStyle w:val="TextBody"/>
        <w:bidi w:val="0"/>
        <w:spacing w:before="360" w:after="283"/>
        <w:jc w:val="both"/>
        <w:rPr>
          <w:rFonts w:ascii="Times New Roman" w:hAnsi="Times New Roman"/>
          <w:sz w:val="20"/>
        </w:rPr>
      </w:pPr>
      <w:r>
        <w:rPr>
          <w:rFonts w:ascii="Times New Roman" w:hAnsi="Times New Roman"/>
          <w:b/>
          <w:i/>
          <w:color w:val="000000"/>
          <w:sz w:val="20"/>
        </w:rPr>
        <w:t>Uncertainties in the interpretation and enforcement of PRC laws and regulations could limit the legal protections available to you and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PRC legal system is a civil law system based on written statutes. Prior court decisions may be cited for reference but have limited precedential value. From time to time, we may have to resort to administrative and court proceedings to enforce our legal rights. However, since PRC administrative and court authorities have significant discretion in interpreting and implementing statutory and contractual terms, it may be difficult to evaluate the outcome of administrative and court proceedings. In addition, the PRC legal system is based in part on government policies and internal rules, some of which may not be published on a timely basis. As a result, there can also be no assurance that we would promptly become aware of a violation of a policy or rule, if such decision is not published publicly or promptly notified to us. In addition, any failure by us to respond to changes in the regulatory environment in China could materially and adversely affect our business and impede our ability to continue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investment in China, is subject to PRC regulations. The PRC Foreign Investment Law, or the FIL, effective on January 1, 2020, is the legal foundation governing us, a foreign investment enterprise. The FIL grants pre-establishment national treatment to foreign-invested entities, or FIEs, except for those FIEs that operate in industries specified as either “restricted” or “prohibited” from foreign investment in a “negative list”. The FIL provides that FIEs operating in “restricted” industries will require market entry clearance and other approvals from relevant government authorities. There are ongoing uncertainties in how these relevant regulations are implemented. These uncertainties may impact our corporate governance practices and increase compliance costs. In addition, the FIL imposes information reporting requirements on foreign investors and foreign invested enterprises.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Measures for the Security Review of Foreign Investment, which took effect on January 18, 2021, regulates foreign investments which may raise “national defense and security” or “national security” concerns. Under these measures, a filing may be required for investments in military-related areas, or for investments in certain key sectors that result in obtaining actual control over the target enterprise, such as critical agricultural products, energy and resources, major equipment manufacturing, critical infrastructure, critical transport services, critical cultural products and services, critical information technology and internet products and services, critical financial services, key technology sectors and other critical sector; and if a foreign investment will or may affect national security, the relevant party shall file with the standing working office established at the National Development and Reform Commission (“NDRC”) (with NDRC and MOFCOM taking the lead) for the decision of whether to conduct security review. In the future, if we pursue growth through acquisitions that fall within the scope of these measures, the required security review process could be time consuming, and may delay or inhibit our ability to complete such transactions. As the interpretation of what constitutes "national security" remains broad and evolving, any determination that our business operations or future activities are subject to this security review could result in increased regulatory burdens and materially affect our business operations and activities in China.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 holding company and depend on the ability of our subsidiaries to distribute funds to us in order to satisfy our financial obligations and to make dividend payments. Regulations in China regarding currency conversion could limit our ability to obtain sufficient foreign currency to satisfy our foreign currency requirements or to pay dividends to shareholders.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holding company and our subsidiaries conduct all of our operations and own all of our operating assets. Our principal source of cash flow has historically been the dividends, if any, paid to us by Yuchai, as described under “Item 5. Operating and Financial Review and Prospects — B. Liquidity and Capital Resources.” As a result, our ability to pay dividends, if any, to our shareholders and to satisfy any financial obligations that we may have from time to time depends on the ability of our subsidiaries to generate profits available for distribution to us. The ability of a subsidiary to make these distributions is subject to, among other factors, the law of its jurisdiction of incorporation which regulates the payment of dividends.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PRC government regulates the conversion of Renminbi into foreign currencies and, in certain cases, the remittance of currency out of China. Substantially all of our revenues and operating expenses are generated by our Chinese operating subsidiaries, and are denominated in Renminbi, while a portion of our indebtedness is, or in the future may be, denominated in US dollar and other foreign currencies. Under the existing PRC foreign exchange regulations, without prior approval of SAFE, cash generated from the operations of our subsidiaries in China could be used to pay dividends to us, while approval from or registration with appropriate governmental authorities is required where Renminbi is to be converted into foreign currency and remitted out of China to pay capital expenses such as the repayment of loans denominated in foreign currencies. As a result, our Chinese subsidiaries would need to obtain SAFE approval or complete a registration procedure if in the future they desire to use cash generated from their operations to pay off debt in a currency other than Renminbi owed to entities outside China or make other capital expenditure payments outside China in a currency other than Renminbi.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PRC government may at its discretion further restrict access in the future to foreign currencies for current account transactions. If the foreign exchange control system further limits the ability of our Chinese subsidiaries from obtaining sufficient foreign currencies to satisfy their foreign currency demands, they may not be able to pay dividends in foreign currencies to their shareholders, including us. We cannot predict the effect of future changes in Renminbi and foreign currency regulations on our business, financial condition and results of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PRC regulation of loans to and direct investment in PRC entities by offshore holding companies and governmental control of currency conversion may restrict or delay us from using the proceeds of our offshore offerings to make loans or additional capital contributions to our PRC subsidiaries, which could adversely affect our liquidity and our ability to fund and expand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funds we transfer to our Chinese operating companies, either as a shareholder loan or as an increase in registered capital, are subject to approval by or registration with relevant governmental authorities in China. According to the relevant PRC regulations on FIEs in China, capital contributions to our Chinese operating companies are subject to registration with the State Administration for Market Regulation, or the SAMR or its local counterpart and registration with a local bank authorized by SAFE. In addition, (i) any foreign loan procured by our Chinese operating companies is required to be registered with SAFE or its local branches and (ii) any of our Chinese operating companies may not procure loans which exceed the difference between its total investment amount and registered capital or, as an alternative, they may only procure loans subject to the calculation approach and limitation as provided by the People’s Bank of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30, 2015, the SAFE promulgated the Circular on Reforming the Management Approach Regarding the Foreign Exchange Capital Settlement of Foreign-Invested Enterprises, or SAFE Circular 19, which took effect as of June 1, 2015 and was amended on December 30, 2019 and on March 23, 2023. SAFE Circular 19 launched a nationwide reform of the administration of the settlement of the foreign exchange capitals of FIEs, which, subject to certain restrictions, allows FIEs to settle their foreign exchange capital at their discretion. Then the SAFE issued Circular on the Policies for Reforming and Standardizing Management of Foreign Exchange Settlement under the Capital Account effective on June 9, 2016, to further allow enterprises to convert their foreign debts from foreign currency to Renminbi on a self-discretionary basis. On October 23, 2019, SAFE further softened the capital fund policy by issuing the Circular of the State Administration of Foreign Exchange on Further Promoting the Facilitation of Cross-Border Trade and Investment to allow non-investment FIEs to use their capital funds to make equity investments in China. On December 4, 2023, SAFE issued the Circular on Further Deepening Reform to Promote Cross-Border Trade and Investment Facilitation, or the 2023 Circular 28. Under the 2023 Circular 28, capital account asset realization accounts have been adjusted to capital account settlement accounts. Proceeds from equity transfers paid in foreign currency by domestic entities, as well as foreign exchange funds raised through overseas listings by domestic enterprises, can be directly deposited into capital account settlement accounts, with the funds in such accounts eligible for self-determined conversion and use. On September 12, 2025, SAFE issued the Circular on Matters Concerning Deepening the Reform of Foreign Exchange Management for Cross-border Investment and Financing, or 2025 Circular 43, which took effect on the same date. 2025 Circular 43 streamlines cross-border investment administration by eliminating registration requirements for preliminary expenses and domestic reinvestment, expands external debt quotas for high-tech enterprises, and optimizes capital account income usage by narrowing the negative list. Yuchai, as an FIE, is permitted to use its capital income from registered capital, foreign debt and overseas listing based on the current rules. However, such rules will be subject to further changes and there can be no assurance that the current flexibility could continue to apply to Yuchai, and violations of these circulars could result in severe monetary or other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Securities offerings that we may conduct in the future may be subject to the approval, filing or other administration requirements of the China Securities Regulatory Commission, or the CSRC, the Cyberspace Administration of China, or the CAC, or other PRC governmental authorities, and we cannot assure you that we will be able to obtain such approval, satisfy such requirements or complete such filings.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significant part of our business is conducted in China, we are subject to various PRC laws, rules and regulations. Such laws, rules and regulations may affect our ability to conduct securities offerings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2023, the CSRC promulgated the Trial Measures for Overseas Listing, and five related guidelines, or the Guidelines for Overseas Listing, which became effective on March 31, 2023. Under the Trial Measures for Overseas Listing, PRC domestic companies that seek to offer and list securities in overseas markets, either in direct or indirect means, are required to fulfill certain filing procedures with and report certain information to the CSRC. The Trial Measures for Overseas Listing provide that if an issuer meets both of the following criteria, the overseas offering and listing of securities conducted by such issuer shall be determined as an indirect overseas offering and listing by a PRC domestic enterprise and therefore subject to the filing and reporting requirements as required thereunder: (i) any of the operating revenue, total profits, total assets, or net assets of the PRC domestic enterprise(s) of the issuer in the most recent fiscal year accounts for more than 50% of the corresponding item in the issuer’s audited consolidated financial statements for the same period; and (ii) the main parts of the issuer’s operation activities are conducted in mainland China, or the principal operation premises are located in mainland China, or the majority of senior management personnel in charge of its business operation and management are PRC citizens or have habitual residences located in mainland China. The Trial Measures for Overseas Listing further stipulate that the determination as to whether a PRC domestic company is indirectly offering and listing securities in an overseas market shall be made on a substance-over-form basis. According to one of the Guidelines for Overseas Listing, where an issuer does not fall within the scope of the Trial Measures for Overseas Listing, but the risk factors disclosed in the submitted listing application documents to the relevant overseas market regulations are mainly related to mainland China, the principle of substance-over-form should be followed, and a determination may be made that the issuer falls within the scope which is subject to the filing requirements under the Trial Measures for Overseas Listing. The CSRC has clarified that PRC domestic companies that have already been listed overseas on or before the effective date of the Trial Measures for Overseas Listing can be deemed to be existing issuers, or the Existing Issuers. Existing Issuers are not required to complete the filling procedures required by the Trial Measures for Overseas Listing in connection with their past overseas offerings and listings, and instead would be required to file with the CSRC in connection with any future overseas financing activities that they conduct.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in case any of the following major issues occurs after the overseas offering and listing, the issuer is also required to report the specific information to the CSRC within three working days of the occurrence and the announcement of the relevant issues: (1) change of control; (2) the foreign securities regulatory body or the relevant competent authority has taken such measures as investigation and punishment; (3) change of listing status or listing board; (4) voluntary of compulsory termination of listing. Where there is any material change in the major business and operation of the issuer after overseas offering and listing, and such change does not fall within the scope of filing, the issuer shall, within three working days of the occurrence of such change, submit a special report and a legal opinion issued by a domestic law firm to the CSRC to explain the relevant situation.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2023, the CSRC and certain other PRC regulatory authorities also promulgated the Provisions on Strengthening Confidentiality and Archives Administration of Overseas Securities Offering and Listing by Domestic Companies, or the Confidentiality and Archives Administrative Provisions, which came into effect on March 31, 2023. Pursuant to the Confidentiality and Archives Administrative Provisions, a PRC domestic enterprise that seeks overseas offering and listing, whether directly or indirectly through an overseas listed entity, must strictly abide by applicable PRC laws and regulations, including by enhancing legal awareness in relation to keeping state secrets and strengthening its archives administration, instituting a sound confidentiality and archives administration system, and taking necessary measures to fulfill confidentiality and archives administration obligations. Where a PRC domestic company, either directly or through its overseas listed entity, publicly discloses or provides to relevant individuals or entities including securities companies, securities service providers and overseas regulators, any documents and materials that contain state secrets or working secrets of government agencies, it must first obtain approval from competent authorities according to law, and make certain filings with the secrecy administrative department at the same level. In the event that such documents and materials, if leaked, would be detrimental to national security or public interest, the PRC domestic company must strictly complete the relevant procedures as stipulated by applicable national regulations. Where a PRC domestic company, after completing the relevant procedures, provides to securities companies, securities service providers or other entities with any documents and materials that contain state secrets or working secrets of government agencies, or any other documents and materials that would be detrimental to national security or public interest if leaked, a non-disclosure agreement must be signed between the provider and receiver of such information according to the relevant PRC laws and regulations, which must specify, among others, the obligations and liabilities on confidentiality held by such securities companies and securities service providers. Specifically, when a PRC domestic company provides accounting archives or copies of accounting archives to any entities including securities companies, securities service providers or overseas regulators and individuals, it must complete the due procedures in compliance with applicable national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substantial uncertainties as to the implementation and interpretation of the Trial Measures for Overseas Listing and the Confidentiality and Archives Administrative Provisions, and how they will affect any securities offerings that we may choose to conduct in the future, and it is still uncertain how PRC governmental authorities will regulate overseas listings in general going forward of companies that have significant operations in the PRC. As a significant portion of our operations are currently based in the PRC, it is likely that future securities offerings or potential other listing that we may choose to conduct will be subject to the foregoing rules and requirements. If we (i) do not receive or maintain any required approvals or record-filing, (ii) inadvertently conclude that approvals or record-filing are not required, or (iii) if the CSRC or other regulatory agencies later promulgate new rules or explanations requiring us to obtain their approvals, filings, registrations or other kinds of authorizations for any of our future offerings or future capital raisings, we may be unable to conduct such future securities offerings on schedule, in a timely manner or at all in a timely manner, or at all. Any failure regarding such approval and/or filing requirements may cause the value of our securities to significantly decline or be worthless.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PRC regulators have been increasingly focused on regulation in areas of data security and data protection and the PRC regulatory requirements regarding cybersecurity are evolving. The CAC and other PRC regulators have promulgated various rules, regulations and measures regarding data collection, processing, use and security. For more information, see “— Risks Related to Our Business and Industry — We are dependent on information technology and our systems and infrastructure face certain risks, including cybersecurity risks and data leakage risks. Any failure to comply with the various applicable laws and regulations related to data security and cybersecurity could lead to liabilities, penalties or other regulatory actions, which could have a material and adverse effect on our business, financial condition and results of operations.” If PRC oversight on cybersecurity and data protection regulations leads us to become subject to regulatory inspection or review or require us to take any specific actions, it could cause us to delay, suspend, and terminate securities offerings or capital raisings that we may choose to conduct in the future. </w:t>
      </w:r>
    </w:p>
    <w:p>
      <w:pPr>
        <w:pStyle w:val="TextBody"/>
        <w:bidi w:val="0"/>
        <w:spacing w:before="360" w:after="283"/>
        <w:jc w:val="both"/>
        <w:rPr>
          <w:rFonts w:ascii="Times New Roman" w:hAnsi="Times New Roman"/>
          <w:sz w:val="20"/>
        </w:rPr>
      </w:pPr>
      <w:r>
        <w:rPr>
          <w:rFonts w:ascii="Times New Roman" w:hAnsi="Times New Roman"/>
          <w:b/>
          <w:i/>
          <w:color w:val="000000"/>
          <w:sz w:val="20"/>
        </w:rPr>
        <w:t>United States regulators may be limited in their ability to conduct investigations or inspections of our operations in China.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public companies that have or had a substantial portion of their operations in China, have been the subject of intense scrutiny, criticism and negative publicity by investors, financial commentators and regulatory agencies, such as the SEC. As we have substantial operations within China, the increased regulatory scrutiny focus on U.S.-listed companies with operations in China could add uncertainties to our business operations, share price and reputation. The SEC, the Department of Justice and other U.S. authorities may have difficulties in bringing and enforcing actions against public companies incorporated in, or with substantial operations in, China, or their respective directors and officers who are based in China. The SEC has stated that there are significant legal and other obstacles to obtaining information needed for investigations or litigation in China. China’s securities law that became effective in March 2020 provides, among other things, that no overseas securities regulator is allowed to directly conduct investigation or evidence collection activities within the territory of China. Furthermore, in February 2023, the CSRC and several other Chinese authorities promulgated the Provisions on Strengthening Confidentiality and Archives Administration of Overseas Securities Offering and Listing by Domestic Companies, which provide that where an overseas securities regulator and a competent overseas authority requests to inspect, investigate or collect evidence from a Chinese domestic company concerning overseas offering and listing, or to inspect, investigate, or collect evidence from domestic Chinese securities companies and securities service providers that undertake relevant businesses for such Chinese domestic companies, such inspection, investigation and evidence collection will be conducted under a cross-border regulatory cooperation mechanism, and the CSRC or other competent Chinese authorities will provide necessary assistance pursuant to bilateral and multilateral cooperation mechanisms. Chinese domestic companies, securities companies and securities service providers must first obtain approval from the CSRC or other competent Chinese authorities before cooperating with the inspection and investigation by the overseas securities regulator or competent overseas authority, or providing documents and materials requested in such inspection and investigation. Accordingly, without governmental approval in China,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it is determined that the Public Company Accounting Oversight Board is unable to inspect or investigate our auditor completely, our ordinary shares may be prohibited from being traded on a national exchange. The delisting of our ordinary shares, or the threat of being delisted, may materially and adversely affect the value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Holding Foreign Companies Accountable Act, or the HFCAA, which was enacted in December 2020, the SEC shall prohibit securities of any foreign company from being listed on a U.S. securities exchange or traded “over-the-counter” if a company retains a foreign accounting firm that cannot be inspected by the Public Company Accounting Oversight Board, or PCAOB, for three consecutive years, beginning in 2021. The HFCAA includes requirements for the SEC to identify issuers whose audit work is performed by auditors that the PCAOB, is unable to inspect or investigate completely because of a restriction imposed by a non-U.S. authority in the auditor’s local jurisdiction. Under the Accelerating Holding Foreign Companies Accountable Act, or the AHFCAA, which was enacted in December 2022, our securities may be prohibited from trading on the NYSE if our auditor is located in a foreign jurisdiction and the PCAOB determines that it is unable to inspect or investigate it completely for three consecutive years because of a position taken by an authority in the foreign jurisdiction, which could ultimately result in our shares being delisted. The AHFCAA amended the HFCAA by requesting the SEC to prohibit an issuer’s securities from trading on any U.S. stock exchange if its auditor is not subject to PCAOB inspections for two consecutive years instead of three.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16, 2021, the PCAOB issued a Determination Report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independent registered public accounting firm that issues the audit reports included in our annual reports filed with the SEC, as an auditor of companies whose shares are publicly traded in the United States, is registered with the PCAOB. As a PCAOB registered firm, our auditor is required by the laws of the United States to undergo regular inspections by the PCAOB to assess its compliance with relevant U.S. laws and professional standards.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26, 2022, the CSRC, the Ministry of Finance of the PRC, and the PCAOB signed a Statement of Protocol, or the Protocol, governing inspections and investigations of audit firms based in China and Hong Kong. The Protocol gives the PCAOB independent discretion to select any issuer audits for inspection or investigation and the ability to transfer information to the SEC. On December 15, 2022, the PCAOB announced that it was able to secure full access to inspect and investigate PCAOB-registered public accounting firms headquartered in mainland China and Hong Kong in 2022, and the PCAOB Board vacated its previous determinations that the PCAOB was unable to fully inspect or investigate registered public accounting firms headquartered in mainland China and Hong Kong.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 As it was originally enacted, the HFCAA applied only if the PCAOB’s inability to inspect or investigate was due to a position taken by an authority in the foreign jurisdiction where the relevant public accounting firm is located. As a result of the Consolidated Appropriations Act, 2023, the HFCAA also applies if the PCAOB’s inability to inspect or investigate the relevant accounting firm is due to a position taken by an authority in any foreign jurisdiction. The denying jurisdiction does not need to be where the accounting firm is located.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Whether the PCAOB will continue to be able to satisfactorily conduct inspections of PCAOB-registered public accounting firms headquartered in mainland China and Hong Kong is subject to uncertainty and depends on a number of factors, all of which are out of our control. There can be no assurance that we or our auditor will be able to comply with requirements imposed or possible new regulations adopted by U.S. regulators in the future. The market prices of our shares could be adversely affected as a result of possible negative impacts of the HFCAA and other similar rules and regulations. It remains unclear what further actions the SEC, the PCAOB or NYSE may take to address these issues and what impact those actions may have on companies that have significant operations in the PRC and have securities listed on a U.S. stock exchange, like us. Legislative and regulatory actions and proceedings and new rules resulting from these efforts to increase U.S. regulatory access to audit information could create uncertainty for investors or increase the risk of our securities being delisted and prohibited from trading on a U.S. stock exchange, and the market price of our shares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0" w:name="item_4"/>
      <w:bookmarkEnd w:id="10"/>
      <w:r>
        <w:rPr>
          <w:rFonts w:ascii="Times New Roman" w:hAnsi="Times New Roman"/>
          <w:b/>
          <w:color w:val="000000"/>
          <w:sz w:val="20"/>
        </w:rPr>
        <w:t>ITEM 4. INFORMATION ON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History and Development of the Company </w:t>
      </w:r>
    </w:p>
    <w:p>
      <w:pPr>
        <w:pStyle w:val="TextBody"/>
        <w:bidi w:val="0"/>
        <w:spacing w:before="120" w:after="283"/>
        <w:jc w:val="both"/>
        <w:rPr>
          <w:rFonts w:ascii="Times New Roman" w:hAnsi="Times New Roman"/>
          <w:sz w:val="20"/>
        </w:rPr>
      </w:pPr>
      <w:r>
        <w:rPr>
          <w:rFonts w:ascii="Times New Roman" w:hAnsi="Times New Roman"/>
          <w:b/>
          <w:color w:val="000000"/>
          <w:sz w:val="20"/>
        </w:rPr>
        <w:t>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China Yuchai International Limited is a Bermuda holding company established on April 29, 1993 to own a controlling interest in Yuchai. We currently own, through six of our wholly-owned subsidiaries, 76.4% of the outstanding shares of Yuchai. We operate as an exempted company limited by shares under The Companies Act 1981 of Bermuda. Our registered office is located at Clarendon House, 2 Church Street, Hamilton HM11, Bermuda. On March 7, 2008, we registered a branch office of the Company in Singapore, located at 16 Raffles Quay #26-00, Hong Leong Building, Singapore 048581. Our principal operating office is located at 16 Raffles Quay #39-01A, Hong Leong Building, Singapore 048581. Our telephone number is (+65) 6220-8411. Our transfer agent and registrar in the United States is Computershare Inc., located at 111 Townsquare Place, Suite 1505, Jersey City, NJ 07310. The SEC maintains a website at www.sec.gov/ that contains reports, proxy and information statements and other information regarding registrants that make electronic filings with the SEC, including our Company. Our website address is www.cyilimited.com. The information contained on, or accessible through, our website is not incorporated by reference into this Annual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Until August 2002, we were controlled by Diesel Machinery, a company that was 53.0% owned by Hong Leong Asia, through its wholly-owned subsidiary, Hong Leong China. Hong Leong China owns HL Technology which held shares in us through Diesel Machinery. Diesel Machinery was also 47.0% owned by China Everbright Holdings Company Limited, or China Everbright Holdings, through its wholly-owned subsidiary, Coomber. Hong Leong Asia, a company listed on the Singapore Exchange, is part of the Hong Leong Investment group of companies, which was founded in 1941 by the Kwek family of Singapore and remains one of the largest privately-controlled business groups in Southeast Asia. In 2002, China Everbright Holdings and Coomber gave notice to Diesel Machinery and the other shareholders of Diesel Machinery to effect a liquidation of Diesel Machinery. As a result of the liquidation, Hong Leong Asia acquired the special share through HL Technology which entitles Hong Leong Asia to elect a majority of our directors and also to veto any resolution of our shareholders. China Everbright Holdings sold its shareholding in Coomber, which held shares of our common stock, in October 2002 to Goldman Industrial Limited, or Goldman, and China Everbright Holdings is no longer a shareholder of our Company. Goldman was a subsidiary of Zhong Lin Development Company Limited, or Zhong Lin, an investment vehicle of the city government of Yulin in Guangxi, China until September 29, 2006 when Zhong Lin sold its shareholding in Goldman to the GY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certain management, financial planning, internal audit services, internal control testing, IFRS Accounting Standards training, business enhancement consulting and other services to Yuchai and we continue to have a team working full-time at Yuchai’s principal manufacturing facilities in Yulin city. In addition, the President, Chief Financial Officer, Senior Vice President of Operations and a manager proficient in Section 404 of Sarbanes-Oxley Act of 2002, or SOX, travel frequently for as much as up to two weeks at a time, to Yuchai to actively participate in Yuchai’s operations and decision-making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main operating asset has historically been, and continues to be, our ownership interest in Yuchai, and our primary source of cash flow has historically been our share of the dividends, if any, paid by Yuchai and investment income thereon. However, on February 7, 2005, the Board of Directors of the Company announced its approval of the implementation of a business expansion and diversification plan by the Company. Following such announcement, we have looked for new business opportunities to seek to reduce our financial dependence on Yuchai: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2005, we acquired a 15.0% interest in the capital of TCL through Venture Delta Limited (“Venture Delta” or “VDL”). In 2022, we fully disposed of our shareholding interest in TCL.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2006, we acquired debt and equity securities in HLGE through two wholly-owned subsidiaries. Our shareholding in HLGE has changed through various transactions and as of December 31, 2025, through our wholly-owned subsidiary, Grace Star Services Limited (“Grace Star”), we had a 49.1% shareholding interest in HLGE, which has remained unchanged as of February 27, 2026. The HLGE Group is engaged in hospitality and property development activities conducted mainly in Malaysia. For more details on our investments in HLGE, see “Item 5. Operating and Financial Review and Prospects —Business Expansion and Diversification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January 1, 2025, there have been no public takeovers by third parties in respect of our shares, and we have not made any public takeovers in respect of other companies’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Yuchai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was founded in 1951. Prior to 1984, Yuchai was a small producer of low-power diesel engines for agricultural machinery. In 1984, Yuchai introduced the earliest model of its YC6J diesel engine for medium-duty trucks. In July 1992, in order to raise funds for further expansion, Yuchai was restructured into a joint stock company. As a result of this restructuring, Yuchai was incorporated as a joint stock company in July 1992 and succeeded the machinery business of Yulin Diesel. All of Yulin Diesel’s businesses, other than its machinery business, as well as certain social service-related operations, assets, liabilities and employees (for example, cafeterias, cleaning and security services, a hotel and a department store), were transferred to the GY Group. The GY Group also became the majority shareholder of Yuchai through its ownership stake of approximately 104 million shares of Yuchai, or GY Group Shares. In connection with its incorporation, Yuchai also issued seven million shares to various Chinese institutional investors, or Legal Person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1993, in order to finance further expansion, Yuchai sold shares to the Company. Our initial shareholders, consisting of HL Technology, Sun Yuan Overseas (BVI) Ltd., or Sun Yuan BVI, The Cathay Investment Fund, Limited, or Cathay, GS Capital Partners L.P., and Coomber, then a wholly-owned subsidiary of China Everbright Holdings and, thus, controlled by China Everbright International Limited, or China Everbright International, made their initial investments in Yuchai in May 1993, when their respective wholly-owned subsidiaries purchased for cash in the aggregate 200 million newly-issued shares of Yuchai (51.3% of the then-outstanding shares of Yuchai). These shareholders exchanged with the Company their shareholdings in their wholly-owned subsidiaries, six companies which held Foreign Shares of Yuchai, for 20 million shares of our common stock (after giving effect to a 10-for-1 stock split in July 1994, or the Stock Split). In connection therewith, Yuchai became a Sino-foreign joint stock company (i.e., a foreign-invested enterprise under the PRC Foreign Investment Law effective on January 1, 2020) and became subject to the laws and regulations relating to joint stock limited liability companies and Sino-foreign joint venture companies in China. Foreign Shares may be held by and transferred to non-Chinese legal and natural persons, subject to the approval of the Ministry of Commerce, the successor entity to the Ministry of Foreign Trade and Economic Cooperation of China, or MOFTEC. Foreign Shares are entitled to the same economic rights as GY Group Shares and Legal Person Shares. GY Group Shares are shares purchased with state assets by government departments or organizations authorized to represent state investment. Legal Person Shares are shares purchased by Chinese legal persons or institutions or social groups with legal person status and with assets authorized by the state for use in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1994, we purchased from an affiliate of China Everbright Holdings 78,015,500 Foreign Shares of Yuchai in exchange for the issuance of 7,801,550 shares of our common stock (after giving effect to the Stock Split), or the China Everbright Holdings Purchase. The 78,015,500 Foreign Shares of Yuchai held by Earnest Assets Limited, a subsidiary of China Everbright Holdings and China Everbright International before its sale to us had been originally issued as Legal Person Shares and GY Group Shares and were converted to Foreign Shares, pursuant to approvals granted by MOFTEC. As a result, the Company became the owner of each of these six companies: Hong Leong Technology Systems (BVI) Ltd., Tsang &amp; Ong Nominees (BVI) Ltd., Cathay Diesel Holdings Ltd., Goldman Sachs Guangxi Holdings (BVI) Ltd., Youngstar Holdings Limited and Earnest Assets Limited.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1994, we sold 7,538,450 shares of common stock in our initial public offering and used substantially all of the proceeds to finance our six wholly-owned subsidiaries’ purchase of 83,404,650 additional Foreign Shares in Yuchai.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our purchase, through our six wholly-owned subsidiaries, of additional Yuchai Shares with proceeds of our initial public offering, Yuchai offered additional shares pro rata to its other existing shareholders (30 shares for each 100 shares owned) in accordance with such shareholders’ pre-emptive rights, and each of our subsidiaries was able to acquire these additional Foreign Shares in Yuchai. Such pro rata offering (including the offering to the Company) is referred to herein as the “Yuchai Offering.” Certain Legal Person shareholders subscribed for additional shares in the Yuchai Offering. The GY Group informed Yuchai at the time that it would not subscribe for any of its portion of Yuchai Shares (31,345,094 shares) in the Yuchai Offering. In order to obtain MOFTEC’s approval of the Yuchai Offering, the GY Group was given the right by Yuchai’s Board of Directors to subscribe for approximately 31 million shares of Yuchai at a price of RMB 6.29 per share at any time prior to December 1998. This was because provisional regulations of the State Administration Bureau of State Property, or SABSP, and the State Committee of Economic System Reform, or SCESR, published in November 1994, imposed on any holder of state-owned shares certain obligations to protect its interest in any share offering. Under such regulations, the GY Group could have been required to subscribe for Yuchai Shares in the Yuchai Offering. Yuchai’s shareholders subsequently agreed to extend the duration of such subscription right to March 31, 2002 (the exercise of which would have reduced our ownership of Yuchai from 76.4% to 71.7%). The GY Group informed the shareholders of Yuchai that it had determined not to subscribe for additional Yuchai Shares and this determination was noted by Yuchai’s Board of Directors on November 1, 2002. However, given the November 1994 provisional regulations of the SABSP and the SCESR, the SABSP, the SCESR and/or the Ministry of Commerce may take action against the GY Group, and there can be no assurance that any such action would not, directly or indirectly, have a material adverse effect on Yuchai or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Reorganization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7, 2005, we entered into the Reorganization Agreement with Yuchai and Coomber, which is intended to be in furtherance of the implementation of the restructuring contemplated in the agreement dated July 19, 2003 between the Company and Yuchai with respect to the Company’s investment in Yuchai (the “July 2003 Agreement”), as amended and incorporated into the Cooperation Agreement on June 30, 2007. The terms of the Reorganization Agreement have also been acknowledged and agreed to by GY. The Reorganization Agreement provides for the implementation of corporate governance guidelines approved by the directors and shareholders of Yuchai in November 2002 and outlines steps for the adoption of corporate governance practices at Yuchai conforming to international custom and practice. Pursuant to the Reorganization Agreement, Yuchai also acknowledged and affirmed our continued rights as majority shareholder to direct the management and policies of Yuchai through Yuchai’s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Subsequent to the execution of the Reorganization Agreement, a number of steps have been taken by the parties thereto towards its implementation. For example, Yuchai’s directors and shareholders have confirmed that the amendments to Yuchai’s Articles of Association and corporate governance guidelines required to be adopted by Yuchai pursuant to the Reorganization Agreement have been ratified and implemented, and that steps are being taken to have such amendments and guidelines approved by the relevant Chinese authorities. The amended Articles of Association was approved by the Guangxi Department of Commerce on December 2, 2009. </w:t>
      </w:r>
    </w:p>
    <w:p>
      <w:pPr>
        <w:pStyle w:val="TextBody"/>
        <w:bidi w:val="0"/>
        <w:spacing w:before="360" w:after="283"/>
        <w:jc w:val="both"/>
        <w:rPr>
          <w:rFonts w:ascii="Times New Roman" w:hAnsi="Times New Roman"/>
          <w:sz w:val="20"/>
        </w:rPr>
      </w:pPr>
      <w:r>
        <w:rPr>
          <w:rFonts w:ascii="Times New Roman" w:hAnsi="Times New Roman"/>
          <w:b/>
          <w:color w:val="000000"/>
          <w:sz w:val="20"/>
        </w:rPr>
        <w:t>Cooperation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Reorganization Agreement was scheduled to terminate on June 30, 2007. On June 30, 2007, we entered into the Cooperation Agreement with Yuchai, Coomber and GY. The Cooperation Agreement amends certain terms of the Reorganization Agreement, as amended, among CYI, Yuchai and Coomber, and as so amended, incorporates the terms of the Reorganization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amendments to the Reorganization Agreement, the Company agreed that the restructuring and spin-off of Yuchai would not be effected, and, recognizing the understandings that have been reached between the Company and GY to jointly undertake efforts to expand the business of Yuchai, the Company would not seek to recover the anti-dilution fee of US$20 million from Yuchai.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Cooperation Agreement provides that the parties will explore new business opportunities and ventures for the growth and expansion of Yuchai’s existing businesses. Although the parties to the Cooperation Agreement expect to work towards its implementation as expeditiously as possible, no assurance can be given as to when the transactions contemplated therein will be consummated.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amendments to Yuchai’s Articles of Association had been ratified and adopted by Yuchai in 2007 and were approved by the Guangxi Department of Commerce on December 2, 2009. </w:t>
      </w:r>
    </w:p>
    <w:p>
      <w:pPr>
        <w:pStyle w:val="TextBody"/>
        <w:bidi w:val="0"/>
        <w:spacing w:before="360" w:after="283"/>
        <w:jc w:val="both"/>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Emission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the introduction of China National I in the early 2000s, Chinese regulators have progressively tightened the limits on permissible emissions of on-road diesel vehicles and off-road machinery. In an effort to combat increasing air pollution, China’s vehicle industry transitioned to the National IV and National V emission standards from 2013 to 2018, reflecting a significant leap in emission control within just five years. The latest emission standard, known as National VI, was implemented in July 2021. Yuchai produces diesel engines and natural gas engines compliant with the National V and National VI emission standards, and has a portfolio of engines that are compliant with National VIb emission standards implemented in July 2023. It also develops alternative fuels and environmentally friendly hybrid systems with improved fuel efficiency.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off-road machinery, the Tier-3 emission standards were implemented nationwide on December 1, 2016. The Tier-4 emission standards have been enforced from December 2022 for all diesel off-road equipment with engine sizes smaller than 560kW. Yuchai has fulfilled the Tier-4 emission standards for use in off-road machinery.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China may introduce the next generation of emission standards, commonly referred to as National VII for on-road vehicles and Tier-5 for off-road machinery. However, as of February 27, 2026, no official announcement or timeline for the implementation of National VII and Tier-5 has been formally issued by the relevant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China has introduced and, in the future, may introduce certain regulatory requirements applicable to specific vehicle segments from time to time. In September 2024, the Ministry of Industry and Information Technology published and finalized the Stage 4 Fuel Consumption Standards for Commercial Vehicles. These standards impose more stringent fuel consumption limits on new heavy-duty vehicles with a gross weight exceeding 3,500 kg, including straight trucks, dump trucks, tractor-trailers, and buses. On average, the Stage 4 standards are estimated to tighten fuel consumption requirements by approximately 10% to 15% compared to the previous Stage 3 limits. The implementation scheduled for these new standards follows a phased approach. Effective July 1, 2025, all new heavy-duty vehicle type approval must comply with the Stage 4 standards. By August 1, 2027, all new heavy-duty vehicles sold or registered in China must meet these standards. Yuchai has been working with OEMs partners to meet these targets through improvement of both engine and integrated vehicle design. Yuchai’s National VI compliant engines are fully compliant with the new regulation.</w:t>
      </w:r>
    </w:p>
    <w:p>
      <w:pPr>
        <w:pStyle w:val="TextBody"/>
        <w:bidi w:val="0"/>
        <w:spacing w:before="360" w:after="283"/>
        <w:jc w:val="both"/>
        <w:rPr>
          <w:rFonts w:ascii="Times New Roman" w:hAnsi="Times New Roman"/>
          <w:sz w:val="20"/>
        </w:rPr>
      </w:pPr>
      <w:r>
        <w:rPr>
          <w:rFonts w:ascii="Times New Roman" w:hAnsi="Times New Roman"/>
          <w:b/>
          <w:color w:val="000000"/>
          <w:sz w:val="20"/>
        </w:rPr>
        <w:t>Products and Key Product Development — Yuchai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 engages in the design, manufacture, assembly, and sale of a wide variety of light-, medium- and heavy-duty engines for trucks, buses, pickups, construction and agricultural equipment, and marine and power generation applications. Yuchai offers a comprehensive portfolio of powertrain solutions, including but not limited to diesel, natural gas, alternate fuels and new energy products such as pure electric, range extenders, and hybrid and fuel cell systems. Through its extensive network of regional sales offices and authorized customer service centers, Yuchai distributes its engines directly to auto OEMs and distributors while providing after-sales services across China and globally.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is devoted to improving its competitiveness across all engine platforms, including its light-, medium- and heavy-duty engines, in compliance with applicable emission standards. Yuchai has established a portfolio of on-road engines that meet the National VIb emission standards, which was implemented in China on July 1, 2023. Yuchai also offers a full range of off-road engines that meet the Tier-4 emission standards that came into effect in December 2022. Yuchai is also expanding its production and research and development capabilities in new energy technologies, including alternate fuel engines, hybrid power and electric drive systems, range extender systems, electric drive axles and fuel cell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has launched a series of innovative powertrain and engine solutions in recent years. In September 2023, Yuchai launched the 350hp IE-Power hybrid system for heavy-duty tractor applications which features continuously variable transmission function for both tractor and other heavy-duty agricultural machinery. In the same month, Yuchai launched the YCK15N gas engine for heavy-duty vehicles, designed for operation at high altitudes and extreme weather conditions, with a rated output of 570hp and maximum torque of 2600 N-m. In 2024, Yuchai launched the YCK14N gas engine for heavy-duty for heavy-duty trailers and cargo trucks, with a designed output of 540 PS and a maximum torque of 2500 N-m. In addition, Yuchai extended its casting capabilities in traditional powertrain solutions business and launched wind turbine main shafts for China-based OEMs. In 2025, Yuchai launched the K16, K18 and K20 off-road engines for heavy-duty industrial and mining applications. At its marine and generation power business unit, Yuchai also launched the VTF series engine for power generation. The 16 cylinders VTF engine has a maximum rated output of 3.9MW for prime and stand-by operations. </w:t>
      </w:r>
    </w:p>
    <w:p>
      <w:pPr>
        <w:pStyle w:val="TextBody"/>
        <w:bidi w:val="0"/>
        <w:spacing w:before="360" w:after="283"/>
        <w:jc w:val="both"/>
        <w:rPr>
          <w:rFonts w:ascii="Times New Roman" w:hAnsi="Times New Roman"/>
          <w:sz w:val="20"/>
        </w:rPr>
      </w:pPr>
      <w:r>
        <w:rPr>
          <w:rFonts w:ascii="Times New Roman" w:hAnsi="Times New Roman"/>
          <w:b/>
          <w:i/>
          <w:color w:val="000000"/>
          <w:sz w:val="20"/>
        </w:rPr>
        <w:t>Existing Engine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offers a full portfolio of on- and off-road engine products in compliance with National VI and Tier-4 emission standards, respectively. Yuchai’s National V and Tier-3 compliant engines have been phased out from the China market following the full implementation of the National VI and Tier-4 emission standards, while certain National V and Tier-3 products are retained for export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manufactures engines for trucks, buses and passenger vehicles, marine and industrial applications and generator sets. The following table sets forth Yuchai’s list of engines by application: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6"/>
        <w:gridCol w:w="8779"/>
      </w:tblGrid>
      <w:tr>
        <w:trPr/>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8779" w:type="dxa"/>
            <w:tcBorders/>
            <w:shd w:fill="FFFFFF" w:val="clear"/>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w:t>
            </w:r>
          </w:p>
        </w:tc>
        <w:tc>
          <w:tcPr>
            <w:tcW w:w="8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YCY24, YCY30, YCS04, YCS06, YCK05, YCK08, YCK08N, YCK09, YCK11, YCK11N, YCK13, YCK13N, YCA07N, YCK14N, YCK15N, YCK15M</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w:t>
            </w:r>
          </w:p>
        </w:tc>
        <w:tc>
          <w:tcPr>
            <w:tcW w:w="8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YCY24, YCY30, YCS04, YCS06, YCK05, YCK08, YCK08N, YCK09, YCK11</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w:t>
            </w:r>
          </w:p>
        </w:tc>
        <w:tc>
          <w:tcPr>
            <w:tcW w:w="8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YCF24, YCF30, YCF36, YCA05, YCA07, YCA08, YCK09, YCK11, YCK13, YCK16, YCTD20, YCK18, YCK20</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Agriculture</w:t>
            </w:r>
          </w:p>
        </w:tc>
        <w:tc>
          <w:tcPr>
            <w:tcW w:w="8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YCF30, YCF36, YCA05, YCA07, YCA08, YCK09, YCK11, YCK13, YCK16, YCTD20</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Marine</w:t>
            </w:r>
          </w:p>
        </w:tc>
        <w:tc>
          <w:tcPr>
            <w:tcW w:w="8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YC4FA, YC6T, YC6TD, YC6C, YC6CL, YC6CD, YC8CL, YC12VC</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Generator-Drive</w:t>
            </w:r>
          </w:p>
        </w:tc>
        <w:tc>
          <w:tcPr>
            <w:tcW w:w="8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YC4R, YC4FA, YC6A, YC6LN, YC6KN, YC6T, YC6C, YC6CL, YC12VC, YC12VTD, YC16VTD, YC16VC, YC16VTF</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existing engine products include light-, medium- and heavy-duty engines as set forth in the following table. </w:t>
      </w:r>
    </w:p>
    <w:tbl>
      <w:tblPr>
        <w:tblW w:w="10205" w:type="dxa"/>
        <w:jc w:val="left"/>
        <w:tblInd w:w="0" w:type="dxa"/>
        <w:tblLayout w:type="fixed"/>
        <w:tblCellMar>
          <w:top w:w="28" w:type="dxa"/>
          <w:left w:w="28" w:type="dxa"/>
          <w:bottom w:w="28" w:type="dxa"/>
          <w:right w:w="28" w:type="dxa"/>
        </w:tblCellMar>
      </w:tblPr>
      <w:tblGrid>
        <w:gridCol w:w="1276"/>
        <w:gridCol w:w="8929"/>
      </w:tblGrid>
      <w:tr>
        <w:trPr/>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8929" w:type="dxa"/>
            <w:tcBorders/>
            <w:shd w:fill="FFFFFF" w:val="clear"/>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Light-Duty</w:t>
            </w:r>
          </w:p>
        </w:tc>
        <w:tc>
          <w:tcPr>
            <w:tcW w:w="8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YC4FA, YCY24, YCY30, YCF30, YCF36</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Medium-Duty</w:t>
            </w:r>
          </w:p>
        </w:tc>
        <w:tc>
          <w:tcPr>
            <w:tcW w:w="8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YC6A, YCK05, YCS06, YCS04, YCA05, YCA07, YCA08, YCK08N</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Heavy-Duty</w:t>
            </w:r>
          </w:p>
        </w:tc>
        <w:tc>
          <w:tcPr>
            <w:tcW w:w="89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YC6LN, YC6K12, YC6KN, YC6K13N, YC6T, YC6C, YC6CN, YC6CL, YC8CL, YC12VTD, YC12VC, YC16VC, YC6CD, YC6TD, YCK08, YCK09, YCK11, YCK11N, YCK13, YCK13N, YCK14N, YCK15N, YCK16, YCK18, YCK20, YCTD20</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4-Cylinder Diesel Engines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Trial production of the 4-cylinder diesel engines commenced in late 1999 and today, they represent a stable of reliable and high- performance engines. Our line of 4-cylinder diesel engines consists of the following models: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YCY24 engine compliant with National VI emission standards is for use in passenger vehicles, light-duty buses and pick-up trucks. It has a displacement volume of 2.36 liter and a maximum power output of 150 PS with a maximum torque of 380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YCY30 engine compliant with National VI emission standards is for use in light-duty buses and trucks. It has a displacement volume of 2.97 liter and a power range of 150-180 PS with a maximum torque of 460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YCS04 engine compliant with National VI emission standards is for use in light to medium-duty buses and trucks. It has a displacement volume of 4.16 liter and a maximum power output of 180 PS with a maximum torque of 650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YCA05-T40 engine compliant with China off-road Tier-4 emission standards is for use in industrial and agricultural off-road applications. It has a displacement volume of 4.8 liter and a maximum power output of 220 PS with a maximum torque of 720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YCF30-T48 engine compliant with China off-road Tier-4 emission standards is for use in industrial and agricultural off-road applications. It has a displacement volume of 3.0 liter and a maximum power output of 120 PS with a maximum torque of 430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YCF36-T48 engine compliant with off-road Tier-4 emission standards is for use in industrial and agricultural off-road applications. It has a displacement volume of 3.6 liter and a maximum power output of 125 PS with a maximum torque of 480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YCF36-T40 engine compliant with off-road Tier-4 emission standards is for use in industrial and agricultural off-road applications. It has a displacement volume of 3.6 liter and a maximum power output of 150 PS with a maximum torque of 500 N-m.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6-Cylinder Diesel Engines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line of 6-cylinder diesel engines consists of the following models: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YCS06 engine compliant with National VI emission standards is for use in medium-duty trucks, coaches and buses. It has a displacement volume of 6.23 liter and a maximum power output of 260 PS with a maximum torque of 1000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YCK05 engine compliant with National VI emission standards is for use in medium-duty trucks, coaches and buses. It has a displacement volume of 5.1 liter and a maximum power output of 230 PS with a maximum torque of 870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YCK08 engine compliant with National VI emission standards is for use in medium-duty and special purpose trucks, highway coaches and buses. It has a displacement volume of 7.7 liter and a maximum power output of 350 PS with a maximum torque of 1400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YCK09 engine compliant with National VI emission standards is for use in medium to heavy-duty trucks, highway coaches and buses. It has a displacement volume of 9.41 liter and a maximum power output of 380 PS with a maximum torque of 1800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YCK11 engine compliant with National VI emission standards is for use in heavy-duty trucks and trailers, highway coaches and buses over 10 meter in length. It has a displacement volume of 10.84 liter and a maximum power output of 500 PS with a maximum torque of 2200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YC6K12 engine compliant with National VI emission standard is for use in heavy-duty trucks and trailers. It has a displacement volume of 12.15 liter and a maximum power of 520 PS and a maximum torque of 2200 N-m.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YCK13 engine compliant with National VI emission standards is for use in heavy-duty trucks and trailers, and highway coaches. It has a displacement volume of 12.94 liter and a maximum power output of 560 PS with a maximum torque of 2500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YCA07-T40 engine compliant with China off-road Tier-4 emission standards is for use in industrial and agricultural applications. It has a displacement volume of 6.9 liter and a maximum power output of 260 PS with a maximum torque of 1050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YCA08-T40 engine compliant with China off-road Tier-4 emission standards is for use in industrial and agricultural off-road applications. It has a displacement volume of 7.5 liter and a maximum power output of 320 PS with a maximum torque of 1200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YCK09-T40 engine compliant with China off-road Tier-4 emission standards is for use in industrial and agricultural off-road applications. It has a displacement volume of 9.4 liter and a maximum power output of 400 PS with a maximum torque of 1900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YCK11-T40 engine compliant with China off-road Tier-4 emission standards is for use in industrial and agricultural off-road applications. It has a displacement volume of 10.8 liter and a maximum power output of 480 PS with a maximum torque of 2200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YCK13-T40 engine compliant with China off-road Tier-4 emission standards is for use in industrial and agricultural off-road applications. It has a displacement volume of 12.9 liter and a maximum power output of 580 PS with a maximum torque of 2600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YCK16-T40 engine compliant with China off-road Tier-4 emission standards is for use in industrial and agricultural off-road applications. It has a displacement volume of 15.9 liter and a maximum power output of 775 PS with a maximum torque of 3200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YCTD20-T40 engine compliant with China off-road Tier-4 emission standards is for use in industrial and agricultural off-road applications. It has a displacement volume of 19.6 liter and a maximum power output of 952 PS with a maximum torque of 3800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YCK18-T40 engine compliant with China off-road Tier-4 emission standards is for use in industrial and agricultural off-road applications. It has a displacement volume of 18.06 liter and a maximum power output of 810 PS with a maximum torque of 3800 N-m.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YCK20-T40 engine compliant with China off-road Tier-4 emission standards is for use in industrial and agricultural off-road applications. It has a displacement volume of 19.6 liter and a maximum power output of 880 PS with a maximum torque of 4100 N-m.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High Horsepower Marine and Power Generator Engines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2011, Yuchai commenced construction of a plant at Yuchai’s primary manufacturing facilities in Yulin City, Guangxi Zhuang Autonomous Region, to increase the annual production capacity of high horsepower engines to meet increasing demand for marine, power generation and industrial applications. In 2022, Yuchai carved out its marine and power generation engine business sector and transferred it to its subsidiary, MGP. The following are our high horsepower engine models, all of which are produced by MGP.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YC6T is a 6-cylinder engine rated at 360 to 600 PS and is suitable for construction applications. It is used in marine propulsion, power generators, construction and mining trucks. The YC6T engine rated at 404 to 440 kW at 1500 rpm is for power generation, while those rated at 290 to 396 kW at 1500 to 1800 rpm are for marine applications and those rated at 350 to 540 PS at 1350 rpm are for marine propulsion.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YC6C is a 40 liter, 6-cylinder engine rated at 700 to 1000 PS. It was launched in early 2011 and is used in marine propulsion, power generators, construction and mining trucks. The YC6C engine rated 680 to 850 kW at 1500 rpm is for power generation and those rated 560 to 680 kW at 1500 rpm are for marine propulsion.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YC6CL is an upgraded version of the YC6C engine with longer piston stroke for better power output and performance. It is a 54 liter engine rated at 800 to 1200 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YC12VTD is derived from the YC6TD engines where the V-engine enables the engine to have a compact configuration. The engine is 12-cylinder, 39 liter rated at 900 to 1345 kW at 1500 rpm, mainly for application in the power generator, marine and industrial markets. The YC12VTD was launched in 2018.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YC16VTD is derived from the YC6TD engine where the V-engine enables the engine to have a compact configuration. The engine is 16-cylinder, 52 liter rated at 1520 to 1680 kW at 1500 rpm, mainly for application in the power generator, marine and industrial markets. The YC16VTD was launched in 2018.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YC12VC is derived from the YC6C engines where the V-engine enables the engine to extend its power output at similar engine platform. The engine is 12-cylinder, 80 liter rated at 1120 to 1800 kW at 1500 rpm. The main application is in the power generator, marine and industrial markets. The YC12VC was commercially launched in 2015.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YC16VC is derived from the YC6C engines where the V-engine enables the engine to extend its power output at similar engine platform. The engine is 16-cylinder, 108 liter rated at 1960 to 3608 kW at 1500 rpm. The main application is in the power generator, marine and industrial markets. The YC16VC was commercially launched in late 2016.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YC8CL is an extended version of YC6CL engine, with 8-cylinder in line configuration. YC8CL is an 8-cylinder, 72.8 liter engine rated at 692 to 1176 kW at 750 to 1000 rpm. The main application is in marine propulsion for river trade and costal general cargo vessels. The YC8CL was officially launched in mid-2017.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YC16VTF is a newly designed high horsepower engine, available in 16- and 20- cylinder configurations. It is designed to operate at 1500, 1800, and 2100 rpm, with the maximum-rated 2100 rpm variant delivering an output of 3971 kW. The main application is power generation and marine markets. The YC16VTF is at development stage and expected to have commercial launch in 2027.</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Other Products and Services </w:t>
      </w:r>
    </w:p>
    <w:p>
      <w:pPr>
        <w:pStyle w:val="TextBody"/>
        <w:bidi w:val="0"/>
        <w:spacing w:before="120" w:after="283"/>
        <w:jc w:val="both"/>
        <w:rPr>
          <w:rFonts w:ascii="Times New Roman" w:hAnsi="Times New Roman"/>
          <w:sz w:val="20"/>
        </w:rPr>
      </w:pPr>
      <w:r>
        <w:rPr>
          <w:rFonts w:ascii="Times New Roman" w:hAnsi="Times New Roman"/>
          <w:i/>
          <w:color w:val="000000"/>
          <w:sz w:val="20"/>
        </w:rPr>
        <w:t>Natural Gas Engines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has a facility at its primary manufacturing facility in Yulin City, Guangxi Zhuang Autonomous Region, to develop and produce a portfolio of natural gas-powered engines to complement its existing suite of diesel engines. The main uses of Yuchai’s natural gas engines are in large buses, medium- to heavy-duty trucks, industrial and power generators and the marine sector.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natural gas engines are designed to work with both CNG and LNG fuel systems, and they are generally constructed using similar major components as Yuchai’s diesel engines. Yuchai currently offers natural gas engines in the following models: YCA07N, YC6JN, YC6GN, YC6LN, YC6MKN, YCK08N, YCK11N, YCK13N and YCK15N ranging from 120 to 570 hp. Among these engines, YCA07N, YCK08N, YCK11N, YCK13N, YCK14N and YCK15N are natural gas engines compliant with National VI emission standards. </w:t>
      </w:r>
    </w:p>
    <w:p>
      <w:pPr>
        <w:pStyle w:val="TextBody"/>
        <w:bidi w:val="0"/>
        <w:spacing w:before="360" w:after="283"/>
        <w:jc w:val="both"/>
        <w:rPr>
          <w:rFonts w:ascii="Times New Roman" w:hAnsi="Times New Roman"/>
          <w:sz w:val="20"/>
        </w:rPr>
      </w:pPr>
      <w:r>
        <w:rPr>
          <w:rFonts w:ascii="Times New Roman" w:hAnsi="Times New Roman"/>
          <w:i/>
          <w:color w:val="000000"/>
          <w:sz w:val="20"/>
        </w:rPr>
        <w:t>Hydrogen Combustion Engines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has developed carbon-free hydrogen combustion engine models YCK05H and YCK16H for on-road applications. YCK05H is a 4-cylinder engine with a designed output of 175hp, and YCK16H is a 6-cylinder engine with a designed output of 560hp. Prototypes of both engine models have been installed on testing trucks for performance testing. </w:t>
      </w:r>
    </w:p>
    <w:p>
      <w:pPr>
        <w:pStyle w:val="TextBody"/>
        <w:bidi w:val="0"/>
        <w:spacing w:before="360" w:after="283"/>
        <w:jc w:val="both"/>
        <w:rPr>
          <w:rFonts w:ascii="Times New Roman" w:hAnsi="Times New Roman"/>
          <w:sz w:val="20"/>
        </w:rPr>
      </w:pPr>
      <w:r>
        <w:rPr>
          <w:rFonts w:ascii="Times New Roman" w:hAnsi="Times New Roman"/>
          <w:i/>
          <w:color w:val="000000"/>
          <w:sz w:val="20"/>
        </w:rPr>
        <w:t>Methanol Combustion Engines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has developed the low carbon methanol combustion engine YCK15M for on-road applications with a designed output of 380 PS and maximum torque of 1800 N-m. </w:t>
      </w:r>
    </w:p>
    <w:p>
      <w:pPr>
        <w:pStyle w:val="TextBody"/>
        <w:bidi w:val="0"/>
        <w:spacing w:before="360" w:after="283"/>
        <w:jc w:val="both"/>
        <w:rPr>
          <w:rFonts w:ascii="Times New Roman" w:hAnsi="Times New Roman"/>
          <w:sz w:val="20"/>
        </w:rPr>
      </w:pPr>
      <w:r>
        <w:rPr>
          <w:rFonts w:ascii="Times New Roman" w:hAnsi="Times New Roman"/>
          <w:i/>
          <w:color w:val="000000"/>
          <w:sz w:val="20"/>
        </w:rPr>
        <w:t>Power Generator 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has a history of more than 40 years for producing power generator sets, with wide application in both the civil and marine sectors. Yuchai produces power generator sets which are primarily used in the baseload and standby power generation application. The generator set includes an intelligent digital controlling system, remote control, generators group control, remote monitoring, automatic parallel operation, and automated protection against breakdowns. </w:t>
      </w:r>
    </w:p>
    <w:p>
      <w:pPr>
        <w:pStyle w:val="TextBody"/>
        <w:bidi w:val="0"/>
        <w:spacing w:before="360" w:after="283"/>
        <w:jc w:val="both"/>
        <w:rPr>
          <w:rFonts w:ascii="Times New Roman" w:hAnsi="Times New Roman"/>
          <w:sz w:val="20"/>
        </w:rPr>
      </w:pPr>
      <w:r>
        <w:rPr>
          <w:rFonts w:ascii="Times New Roman" w:hAnsi="Times New Roman"/>
          <w:i/>
          <w:color w:val="000000"/>
          <w:sz w:val="20"/>
        </w:rPr>
        <w:t>Engine Components and Parts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supplies engine components and parts to its nationwide chain of service stations in China and globally. The availability of such components and parts to Yuchai’s customers and to end-users through its chain of service stations is an important part of Yuchai’s customer service program. Yuchai is continually improving the distribution channel services of its engine components and parts to maintain its competitive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New Energy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 has developed and produced new energy products, including flywheel range extension system, new generation hybrid system, pure electric drive, pure electric axle drive and fuel cell systems.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Second generation hybrid system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power of Yuchai’s first generation of hybrid system products ranges from 110kW to 210kW. The second-generation hybrid system has achieved major upgrades that have led to adaptability advantages over the previous generation with stronger power, higher operating efficiency, improved fuel-savings, simpler layout of the cooling system, more concise and reliable structure, richer interfaces, and wider applicability to different scenarios. Yuchai’s second generation hybrid system adopts a high-speed oil-cooled motor, which reduces the heat dissipation of the motor by 75%, and the electromechanical performance is highly coupled, helping to achieve higher fuel-saving performance. Products series include YCHS105T-A05K22, YCHS180T-A0822, YCHS190T-A0822, YCHS200T-K0922, YCHS210T-K0922, YCHS220T-K0922, and YCPD230-A07N22.</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Flywheel Range Extender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Yuchai’s flywheel range extension system combines the power source and the power generation unit in the physical structure through a rigid coaxial integration flywheel design and engine crankshaft. This core breakthrough, combined with intelligent coupling control algorithms and multi-scenario adaptive energy management strategies, is the culmination of the evolution of range extenders from split to integrated assembly, which has led to a comprehensive leap in efficiency, reliability and spatial layout. Yuchai’s flywheel range extender products range from 15kW to 550kW, and support a wide range of fuel types, including diesel, natural gas, methanol and hydrogen, including YCRE015T-F1120, YCRE030T-F3020, YCRE065T-F3020, YCRE075-S0420, YCRE100-Y2520, YCRE100C-4A20, YCRE150-A07M20, YCRE170-K08N20, YCRE200-K09LN20, YCRE200-S0720, YCRE250T, K09L20, YCRE280-K12LM20, YCRE300C-6MJ20, YCRE350T-K15N20, YCRE350T-K16LN20, YCRE350T-K16LM20, and YCRE550T-K2020.</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Full Electric Power Systems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Pure electric box drive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commercial vehicle heavy-duty trucks and non-road mining truck box drives applications, Yuchai Simlan has developed high-speed flat wire motors, reducers and gearbox products. These products use high-overlap gear design, flat wire water cooling technology with aluminum alloy shell. Motor power ranges from 220kW to 270kW, and the maximum efficiency of the system is greater than 96%, with a wide coverage of the high-efficiency area. The gearbox adopts a high synchronized gear design, with a large speed ratio and a maximum output torque of up to 30000N.m; with precise spraying for lubrication to achieve effective cooling under various working conditions. The efficiency of the integrated electric motor transmission gearbox reaches more than 96.5%, and the overall performance of the product is excellent. Products include YCET270-0242, YCET270-1200, YCET280-0242, YCET280-0300, YCET280-0341, YCET280-0342, YCET280T-0242, YCET280T-0300, YCET280T-0342, YCET350T-0242, YCET500T-1232, and YCET660T-0532.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Pure electric axle drive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commercial vehicle light-duty truck applications, Yuchai Simlan has developed a two-in-one drive system with motor electronic control, with a power range of 35kW to 140kW. The motor with electronic control has a highly integrated design, compact in size, and convenient layout of the vehicle chassis. The highest vibration resistance is 11G, EMC high-voltage conduction meets the requirements of GB 18655 standard Class 3 level, and the electric drive system adopts a co-shell design, which is lighter in weight, enhances its competitiveness. Products include YCEA02035-031, YCEA03035-031, YCEA03050-030, YCEA03050-031, YCEA03070-031, YCEA04070-031, YCEA05090-031, and YCEA07090-032.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commercial vehicle heavy-duty truck applications, Yuchai Simlan has developed a 13T heavy-duty axle drive system, with a power range of 220kW to 270kW. These products adopt a three-speed shift system. As a result, even under complex working conditions, it can well support the motor to run in a high-efficiency zone, while the transmission assembly lubrication and cooling module enable the axle assembly to effectively lubricate the bearing and reduce the temperature rise in various working condition. Products include YCEA210-0500, YCEA220-0530, YCEA270-0500, and YCEA270-0530.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 xml:space="preserve">Fuel Cell System (“YC FCS”)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has developed its highly efficient PEM stack electrolyser for fuel cell battery system as well as its hydrogen generating system. The YC FCS fuel cell systems with 90 to 120kW designed outputs have been installed on public transit fleet city buses for routine operation since late 2023 and clocked a total more than 2.73 million km. </w:t>
      </w:r>
    </w:p>
    <w:p>
      <w:pPr>
        <w:pStyle w:val="TextBody"/>
        <w:bidi w:val="0"/>
        <w:spacing w:before="360" w:after="283"/>
        <w:jc w:val="both"/>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according to CAAM, engine sales for commercial vehicles (excluding gasoline-powered and electric-powered vehicles) in China were approximately 2.4 million units, an increase of 4.5% compared to 2024. Yuchai’s commercial vehicle engine sales in 2025 were 213,324 units, an increase of 42.8% compared to 149,371 units in 2024. Yuchai’s total engine sales in 2025 were 461,309 units, an increase of 29.4% compared to 356,586 units in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light-duty engine sales in 2025 were 131,124 units, or 28.4% of total unit sales, compared to 28.5% in 2024, where light-duty engine sales were 101,676 units. Medium-duty engine sales were 188,756 units, or 40.9% of total unit sales, compared to 2024 where sales were 164,986 units, or 46.3% of total unit sales. Heavy-duty engine sales were 110,043 units, or 23.9% of total sales units, compared to 2024 where sales were 76,002 units, or 21.3% of total unit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2025, Yuchai sold 24,591 units of natural gas engines compared with 11,279 units sold in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a breakdown of Yuchai’s sales by major product category for fiscal years 2023, 2024 and 2025: </w:t>
      </w:r>
    </w:p>
    <w:p>
      <w:pPr>
        <w:pStyle w:val="TextBody"/>
        <w:bidi w:val="0"/>
        <w:jc w:val="left"/>
        <w:rPr/>
      </w:pPr>
      <w:r>
        <w:rPr/>
        <w:t> </w:t>
      </w:r>
    </w:p>
    <w:tbl>
      <w:tblPr>
        <w:tblW w:w="11948" w:type="dxa"/>
        <w:jc w:val="left"/>
        <w:tblInd w:w="0" w:type="dxa"/>
        <w:tblLayout w:type="fixed"/>
        <w:tblCellMar>
          <w:top w:w="28" w:type="dxa"/>
          <w:left w:w="28" w:type="dxa"/>
          <w:bottom w:w="28" w:type="dxa"/>
          <w:right w:w="28" w:type="dxa"/>
        </w:tblCellMar>
      </w:tblPr>
      <w:tblGrid>
        <w:gridCol w:w="1096"/>
        <w:gridCol w:w="146"/>
        <w:gridCol w:w="916"/>
        <w:gridCol w:w="146"/>
        <w:gridCol w:w="146"/>
        <w:gridCol w:w="170"/>
        <w:gridCol w:w="596"/>
        <w:gridCol w:w="256"/>
        <w:gridCol w:w="146"/>
        <w:gridCol w:w="146"/>
        <w:gridCol w:w="691"/>
        <w:gridCol w:w="146"/>
        <w:gridCol w:w="146"/>
        <w:gridCol w:w="146"/>
        <w:gridCol w:w="916"/>
        <w:gridCol w:w="146"/>
        <w:gridCol w:w="146"/>
        <w:gridCol w:w="170"/>
        <w:gridCol w:w="596"/>
        <w:gridCol w:w="256"/>
        <w:gridCol w:w="146"/>
        <w:gridCol w:w="146"/>
        <w:gridCol w:w="691"/>
        <w:gridCol w:w="146"/>
        <w:gridCol w:w="146"/>
        <w:gridCol w:w="146"/>
        <w:gridCol w:w="916"/>
        <w:gridCol w:w="146"/>
        <w:gridCol w:w="146"/>
        <w:gridCol w:w="170"/>
        <w:gridCol w:w="596"/>
        <w:gridCol w:w="256"/>
        <w:gridCol w:w="146"/>
        <w:gridCol w:w="146"/>
        <w:gridCol w:w="691"/>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w:t>
              <w:br/>
              <w:t>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w:t>
              <w:br/>
              <w:t>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w:t>
              <w:br/>
              <w:t>Sold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Light-duty </w:t>
              <w:br/>
              <w:t>   engines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Medium-duty </w:t>
              <w:br/>
              <w:t xml:space="preserve">   engines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5,696,186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5,201,611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5,563,174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Heavy-duty </w:t>
              <w:br/>
              <w:t xml:space="preserve">   engines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5,552,544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6,417,484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9,755,682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products </w:t>
              <w:br/>
              <w:t xml:space="preserve">   and </w:t>
              <w:br/>
              <w:t xml:space="preserve">   services </w:t>
            </w: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5,145,012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6,662,058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18,015,280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19,102,797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24,625,748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461,309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Notes: </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5"/>
        </w:rPr>
      </w:pPr>
      <w:r>
        <w:rPr>
          <w:rFonts w:ascii="Times New Roman" w:hAnsi="Times New Roman"/>
          <w:color w:val="000000"/>
          <w:sz w:val="15"/>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Includes natural gas engines.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Includes components and parts, power generator sets, NEV products and others. </w:t>
      </w:r>
    </w:p>
    <w:p>
      <w:pPr>
        <w:pStyle w:val="TextBody"/>
        <w:bidi w:val="0"/>
        <w:spacing w:before="360" w:after="283"/>
        <w:jc w:val="both"/>
        <w:rPr>
          <w:rFonts w:ascii="Times New Roman" w:hAnsi="Times New Roman"/>
          <w:sz w:val="20"/>
        </w:rPr>
      </w:pPr>
      <w:r>
        <w:rPr>
          <w:rFonts w:ascii="Times New Roman" w:hAnsi="Times New Roman"/>
          <w:b/>
          <w:i/>
          <w:color w:val="000000"/>
          <w:sz w:val="20"/>
        </w:rPr>
        <w:t>Production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Yuchai’s primary manufacturing facilities are located in Yulin City in the Guangxi Zhuang Autonomous Region. The principal production land area currently occupies approximately 1.8 million square meters, including an existing production factory for all light-, medium- and heavy-duty engine models, a natural gas production facility, a high horse power marine diesel engine and power generator plant, a foundry and various testing and supporting facilities. Yuchai has centralized its production of marine and power generator engines and power generator sets under MGP, following the carve-out of the marine and power generator business and associated assets from Yuchai’s main operating entity to MGP in 2022. For the years ended December 31, 2024 and 2025, the total production capacity of Yuchai (excluding Yuchai Simlan) was approximately 633,000 units each year based on a 2.0 shift five-day week at 80% utilization rate. For the new energy sector, production is managed under Yuchai Simlan and its subsidiaries, primarily located in Nanning City, Guangxi Zhuang Autonomous Region, with an annual production capacity of approximately 30,000 units.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2025, we produced 387,766 units of engines. The following table sets forth the breakdown of Yuchai’s production in the Guangxi Zhuang Autonomous Region by major product category for the years ended December 31, 2023, 2024 and 2025: </w:t>
      </w:r>
    </w:p>
    <w:p>
      <w:pPr>
        <w:pStyle w:val="TextBody"/>
        <w:bidi w:val="0"/>
        <w:jc w:val="left"/>
        <w:rPr/>
      </w:pPr>
      <w:r>
        <w:rPr/>
        <w:t> </w:t>
      </w:r>
    </w:p>
    <w:tbl>
      <w:tblPr>
        <w:tblW w:w="9670" w:type="dxa"/>
        <w:jc w:val="left"/>
        <w:tblInd w:w="0" w:type="dxa"/>
        <w:tblLayout w:type="fixed"/>
        <w:tblCellMar>
          <w:top w:w="28" w:type="dxa"/>
          <w:left w:w="28" w:type="dxa"/>
          <w:bottom w:w="28" w:type="dxa"/>
          <w:right w:w="28" w:type="dxa"/>
        </w:tblCellMar>
      </w:tblPr>
      <w:tblGrid>
        <w:gridCol w:w="2566"/>
        <w:gridCol w:w="146"/>
        <w:gridCol w:w="146"/>
        <w:gridCol w:w="781"/>
        <w:gridCol w:w="146"/>
        <w:gridCol w:w="146"/>
        <w:gridCol w:w="146"/>
        <w:gridCol w:w="571"/>
        <w:gridCol w:w="271"/>
        <w:gridCol w:w="146"/>
        <w:gridCol w:w="146"/>
        <w:gridCol w:w="781"/>
        <w:gridCol w:w="146"/>
        <w:gridCol w:w="146"/>
        <w:gridCol w:w="146"/>
        <w:gridCol w:w="571"/>
        <w:gridCol w:w="271"/>
        <w:gridCol w:w="146"/>
        <w:gridCol w:w="146"/>
        <w:gridCol w:w="781"/>
        <w:gridCol w:w="146"/>
        <w:gridCol w:w="146"/>
        <w:gridCol w:w="146"/>
        <w:gridCol w:w="571"/>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Units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Units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Units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Light-duty engines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Medium-duty engines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Heavy-duty engines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products and services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Notes: </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5"/>
        </w:rPr>
      </w:pPr>
      <w:r>
        <w:rPr>
          <w:rFonts w:ascii="Times New Roman" w:hAnsi="Times New Roman"/>
          <w:color w:val="000000"/>
          <w:sz w:val="15"/>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Includes natural gas engines.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Includes power generator sets, NEV products and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2024, Yuchai’s wholly-owned subsidiary, Yuchai Machinery Power System (Thailand) Co., Ltd., or Yuchai Thailand, commenced production operations as its first K08 engine from Thailand factory rolled off the production line. Yuchai Thailand expects to produce a range of diesel engines, natural gas engines and new energy power products. Its existing production capacity is 1,000 units, and may be expanded in the future according to market demand. </w:t>
      </w:r>
    </w:p>
    <w:p>
      <w:pPr>
        <w:pStyle w:val="TextBody"/>
        <w:bidi w:val="0"/>
        <w:spacing w:before="360" w:after="283"/>
        <w:jc w:val="both"/>
        <w:rPr>
          <w:rFonts w:ascii="Times New Roman" w:hAnsi="Times New Roman"/>
          <w:sz w:val="20"/>
        </w:rPr>
      </w:pPr>
      <w:r>
        <w:rPr>
          <w:rFonts w:ascii="Times New Roman" w:hAnsi="Times New Roman"/>
          <w:i/>
          <w:color w:val="000000"/>
          <w:sz w:val="20"/>
        </w:rPr>
        <w:t>Procurement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manufactures engine blocks, cylinder heads, crankshafts, camshafts and certain other key parts. Third-party suppliers, including related parties, provide the remaining engine parts and components. The production process involves the complete assembly and testing of the finished products. Yuchai’s procurement policy aims to source purchases from more than one supplier. Yuchai is continually seeking to improve its procurement strategy by seeking new suppliers with competitive prices and quality.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has progressively reduced its reliance on imported parts and components in recent years, in part due to an increasing number of international suppliers having local manufacturing and logistics capabilities in China. For instance, Yuchai’s fuel combustion equipment and its electronic control systems are purchased from the local factory of an international supplier operating in China. </w:t>
      </w:r>
    </w:p>
    <w:p>
      <w:pPr>
        <w:pStyle w:val="TextBody"/>
        <w:bidi w:val="0"/>
        <w:spacing w:before="360" w:after="283"/>
        <w:jc w:val="both"/>
        <w:rPr>
          <w:rFonts w:ascii="Times New Roman" w:hAnsi="Times New Roman"/>
          <w:sz w:val="20"/>
        </w:rPr>
      </w:pPr>
      <w:r>
        <w:rPr>
          <w:rFonts w:ascii="Times New Roman" w:hAnsi="Times New Roman"/>
          <w:i/>
          <w:color w:val="000000"/>
          <w:sz w:val="20"/>
        </w:rPr>
        <w:t>Engine Block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cast and molded more than 400,000 units of engine blocks in 2025, representing a large portion of its engine blocks used in production. </w:t>
      </w:r>
    </w:p>
    <w:p>
      <w:pPr>
        <w:pStyle w:val="TextBody"/>
        <w:bidi w:val="0"/>
        <w:spacing w:before="360" w:after="283"/>
        <w:jc w:val="both"/>
        <w:rPr>
          <w:rFonts w:ascii="Times New Roman" w:hAnsi="Times New Roman"/>
          <w:sz w:val="20"/>
        </w:rPr>
      </w:pPr>
      <w:r>
        <w:rPr>
          <w:rFonts w:ascii="Times New Roman" w:hAnsi="Times New Roman"/>
          <w:i/>
          <w:color w:val="000000"/>
          <w:sz w:val="20"/>
        </w:rPr>
        <w:t>Raw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purchases raw materials, principally scrap steel and cast iron, from domestic suppliers. An increase in the prices of these raw materials would generally increase our costs of production. We have experienced volatility in the prices of raw materials in the past. See also “Item 3. Key Information — D. Risk Factors — Risks Related to Our Business and Industry — If prices of energy, raw materials or components increase, it may adversely affect our profitability or cause us to suffer operating losses.” </w:t>
      </w:r>
    </w:p>
    <w:p>
      <w:pPr>
        <w:pStyle w:val="TextBody"/>
        <w:bidi w:val="0"/>
        <w:spacing w:before="360" w:after="283"/>
        <w:jc w:val="both"/>
        <w:rPr>
          <w:rFonts w:ascii="Times New Roman" w:hAnsi="Times New Roman"/>
          <w:sz w:val="20"/>
        </w:rPr>
      </w:pPr>
      <w:r>
        <w:rPr>
          <w:rFonts w:ascii="Times New Roman" w:hAnsi="Times New Roman"/>
          <w:i/>
          <w:color w:val="000000"/>
          <w:sz w:val="20"/>
        </w:rPr>
        <w:t>Quality Assurance, Control and Safety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raw materials, external supplied parts and components are checked for conformity with the required quality and specifications. Each stage of the production process is monitored by a quality control procedure and the final product undergoes standard conformity and specification testing using an automated testing laboratory. To promote the safety of its workers, Yuchai has established a safety department to supervise the proper use of equipment to prevent fire and explosions and promote safe practices and procedures in the workplace.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Manufacturing Capacity Expansion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 believes that the current production capacity of all engine lines shall cater for the organic growth of business and its products offering and portfolio. Nevertheless, Yuchai is cautiously evaluating the continuous upgrade and enhancement of manufacturing capabilities in order to meet evolving market demands and expectations. Yuchai also continuously assesses customer experience and refines its production strategies to capture market opportunities. Given the capital-intensive nature of our capacity expansion and its relatively long payback period, Yuchai outsources certain machining processes to external service providers to optimize internal capacity utilization and support incremental expansion, enabling more flexible and efficient scaling.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sz w:val="20"/>
        </w:rPr>
      </w:pPr>
      <w:r>
        <w:rPr>
          <w:rFonts w:ascii="Times New Roman" w:hAnsi="Times New Roman"/>
          <w:color w:val="000000"/>
          <w:sz w:val="20"/>
        </w:rPr>
        <w:t>Yuchai has devoted substantial resources to research and development (“R&amp;D”) to enhance technological capabilities, improve product performance and maintain competitiveness. Its R&amp;D efforts focus primarily on designing new products, improving manufacturing processes and adapting technologies based on evolving market requirements. Yuchai also collaborates with research institutions in China and globally, design consulting firms and engine and components manufacturers to support its technology development efforts. It maintains a dedicated and professional R&amp;D team. Dr. Lin Tiejian, the Chief Engineer of Yuchai was honored in January 2024 with the National Engineer Award for his exceptional contributions to the field of engineering technology in China</w:t>
      </w:r>
      <w:r>
        <w:rPr>
          <w:rFonts w:ascii="Segoe UI;sans-serif" w:hAnsi="Segoe UI;sans-serif"/>
          <w:b/>
          <w:color w:val="FF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significant portion of our R&amp;D efforts has been dedicated to ensuring that our product lineup meets evolving environmental mandates. Yuchai has developed a range of products that comply with stringent emission standards, including National VI standards particularly the more stringent National VIb standards for on-road vehicles, as well as Tier 4 standards for off-road machinery. We continue to invest to upgrade our engines for better performance, improved fuel efficiency, and reduced noise, vibration, and harshness.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field of new energy, Yuchai has been developing alternative fuel combustion engines, including hydrogen, methanol and ammonia combustion. In September 2023, Yuchai launched the 350hp IE-Power system for heavy-duty tractors, featuring a continuously variable transmission, enhanced maneuverability and performance for heavy-duty tractors and other agricultural machinery. In 2024, Yuchai Simlan commenced small-batch production of a new energy locomotive equipped with the YCK16 500kW range extender. This deployment represents an expansion in the rail transit sector, demonstrating our dedication to promoting the green transformation and upgrading new energy rail transit equipment. With its expertise in the field of hydrogen combustion engines, Yuchai was appointed as a Committee Member of the new Hydrogen Combustion Engine Innovation Consortium division of the China Internal Combustion Engine Society in 2024. In 2025, Yuchai Simlan expanded its product range with the introduction of 270/400kW 13T electric drive axle power system for heavy-duty trucks, 140/230 kW integrated motor and electronic control power system for light trucks, and 350/510kW overload box drive system for heavy-duty trucks.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Yuchai has been actively advancing its new energy strategy through the development and commercialization of alternative fuel and electrified power solutions. It is investing in hydrogen, methanol, and ammonia combustion technologies, while expanding its presence across on-road, off-road, marine, and rail transit applications. Recent initiatives include the launch of integrated electric and hybrid powertrain systems, range extenders, and high-performance engines tailored for heavy-duty vehicles, agricultural machinery, and power generation. Yuchai has also begun commercial deployment of hydrogen-powered engines and achieved regulatory certification for methanol engines, demonstrating tangible progress in low- and zero-emission technologies. These efforts reflect Yuchai’s commitment to driving the green transformation of the transportation and equipment industries through innovation in new energy solutions.</w:t>
      </w:r>
    </w:p>
    <w:p>
      <w:pPr>
        <w:pStyle w:val="TextBody"/>
        <w:bidi w:val="0"/>
        <w:spacing w:before="360" w:after="283"/>
        <w:jc w:val="both"/>
        <w:rPr>
          <w:rFonts w:ascii="Times New Roman" w:hAnsi="Times New Roman"/>
          <w:sz w:val="20"/>
        </w:rPr>
      </w:pPr>
      <w:r>
        <w:rPr>
          <w:rFonts w:ascii="Times New Roman" w:hAnsi="Times New Roman"/>
          <w:b/>
          <w:i/>
          <w:color w:val="000000"/>
          <w:sz w:val="20"/>
        </w:rPr>
        <w:t>Future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believes that its long-term business prospects will largely depend upon its ability to develop and commercialize new or improved products with enhanced quality and competitive pricing. Future products may incorporate evolving technologies and may require expertise in markets where Yuchai currently has limited experience. Yuchai intends to continue to work with international design consulting firms and international manufacturers for technological assistance in improving and developing its combustion engine products and new energy systems, and expects such cooperation to continue. Yuchai has participated in collaborations with research institutions and technology providers to advance its new energy technologies, such as fuel-cell systems, and intends to further expand these R&amp;D efforts for its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development and commercialization of new products and energy solutions generally require significant capital investment, including expenditures on advanced manufacturing equipment and technologies. See “Item 3. Key Information — D. Risk Factors — Risks Related to Our Business and Industry — Competition from other diesel engine manufacturers may adversely affect our financial condition, results of operations, business or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Yuchai had established a large intellectual property portfolio, consisting of 1,634 invention patents, 2,349 utility model patents, and 15 design patents, as well as 27 patents filed under the Patent Cooperation Treaty for international protection and 260 software copyrights in China. Depending on the type of patent, including international patents, the term of protection is generally 10 or 20 years from the filing date. The term of protection for software copyrights is 50 years from its first publication.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patent development efforts focus on enhancing product performance, manufacturability and cost competitiveness across its product portfolio. Yuchai’s patents can be broadly categorized into three groups: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Structural patents, which focus on fundamental design innovation and refinement of core engine components, including cylinder blocks, cylinder heads, crankshafts, pistons and connecting rods, with an emphasis on high-strength, lightweight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 patents, which relate to the optimization of engine operation throughout the product life cycle, including fuel injection, power and speed control, cooling and lubrication systems, intake and exhaust management, turbo charging control and error diagnostics;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Process patents, which focus on manufacturing and assembly processes for key components, improving precision, consistency and production efficiency. These include advancements in process parameters and proprietary techniques addressing technical challenges in areas such as precision machining, heat treatment and assembly calibration.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Yuchai seeks to protect its technology and intellectual property through a combination of trademark, copyright, patent and trade secret protection laws, as well as confidentiality procedures and contractual provisions. Yuchai enters into confidentiality and invention assignment agreements with key R&amp;D personnel, and maintains strict controls over access to its proprietary technologies and information. It has adopted and implemented internal procedures for monitoring and combating the counterfeiting of its products and protecting its intellectual property rights. Externally, it engages third-party service providers to assist it to track and take actions against such illegal counterfeiting of its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primarily develops its technologies and patents for its own production and sales, while also exploring opportunities to commercialize its technologies and patents in overseas markets. In 2024, Yuchai entered into a comprehensive cooperation agreement with Kim Long Motor Hue, or Kim Long Motor, a subsidiary of Vietnam’s FUTA Group. Under this agreement, Yuchai granted Kim Long Motor technology licensing rights for certain model engine series, which will be manufactured for trucks, buses and other commercial vehicles in Vietnam. Kim Long Motor has exclusive sales rights for these engines in the Vietnam market, along with priority sales rights in other ASEAN countries and South Korea, as well as aftermarket service rights in these regions. These licenses are valid for 15 years, with total licensing fees of US$28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GY owns and maintains the Chinese trademark registrations of the principal marks associated with the “Yuchai” name. Yuchai has entered into trademark license agreements with GY according to which Yuchai has the right to use and sub-license its branch, subsidiaries and joint ventures to use these trademarks. Yuchai believes that the “Yuchai” brand and logo is well recognized as a quality brand in China. </w:t>
      </w:r>
    </w:p>
    <w:p>
      <w:pPr>
        <w:pStyle w:val="TextBody"/>
        <w:bidi w:val="0"/>
        <w:spacing w:before="360" w:after="283"/>
        <w:jc w:val="both"/>
        <w:rPr>
          <w:rFonts w:ascii="Times New Roman" w:hAnsi="Times New Roman"/>
          <w:sz w:val="20"/>
        </w:rPr>
      </w:pPr>
      <w:r>
        <w:rPr>
          <w:rFonts w:ascii="Times New Roman" w:hAnsi="Times New Roman"/>
          <w:b/>
          <w:color w:val="000000"/>
          <w:sz w:val="20"/>
        </w:rPr>
        <w:t>Sales, Marketing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majority of Yuchai’s engines are sold directly to OEMs and distributors from its primary manufacturing facilities in Yulin City. This centralized model is supported by a network of regional offices in major geographic regions in China. To support its customer base, Yuchai provides technical assistance that includes the dispatch of engineers to provide on-site support and troubleshooting for OEM partners. As of December 31, 2025, Yuchai’s sales and marketing workforce consisted of 945 employees, the significant majority of whom are located in China to facilitate market coverage and customer responsiveness.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China-based OEMs that integrate Yuchai’s engines into their equipment have expanded their sales in overseas markets in recent years. This has led to an increase in on-road vehicles and off-road machinery powered by Yuchai products in overseas markets. We estimate that over one-quarter of Yuchai products sold in the domestic China market were integrated into products sold by China-based OEMs in overseas markets in 2025. To build on this global momentum, Yuchai has increased its marketing efforts in overseas markets. Yuchai has also expanded its service capabilities internationally to provide after-sales and technical support for Yuchai-powered products in overseas markets and promote reliability for end users globally.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significant portion of our total sales is attributable to our largest customers. In 2025, our sales to our top five customers accounted for 35.5% of our total revenue. Our top customer is a leading automobile manufacturer group in China. In 2025, sales to our top customer as a group accounted for 17.1% of our total revenue. See “Item 4. Information on the Company — B. Business Overview — Competition.”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its credit procedures to control and manage its trade receivables, Yuchai may hold shipments for delivery if customers’ credit positions are not satisfactory or if customers have not made payments for earlier deliveries. There can be no assurance that such credit-controlling measures will successfully control Yuchai’s trade receivables balance, or that they will not adversely affect the future purchasing decisions of Yuchai’s customers. As of December 31, 2025, Yuchai had net trade and bills receivables of RMB 11.0 billion (US$1.6 billion), representing 43.7% of our consolidated current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employs a multifaceted approach for marketing, including national and international trade exhibitions, digital media campaigns, and targeted advertisements in industry publications. Yuchai also leverages participation in high-profile events to promote brand awareness. For instance, in 2021, Yuchai introduced its IE-Power smart powertrain system at the China International Agricultural Machinery Exhibition to highlight its innovation in heavy-duty agricultural sector. In 2022, Yuchai’s power generator sets, including a number of 1100kW high-horsepower units, were installed to provide power for the facilities and athlete quarters during the Qatar World Cup. In February 2025, Yuchai provided comprehensive technical support for the 9th Asian Winter Games in Harbin, China, assuming responsibility for the seamless operation of nearly 1,000 event service vehicles equipped with YCK08 and YCS06 engines. In recent years, Yuchai, through its Annual Partner Conference held in Yulin, has engaged with key stakeholders to facilitate strategic collaboration, share operational updates, and strengthen relationships with its suppliers, distribution partners and OEMs. </w:t>
      </w:r>
    </w:p>
    <w:p>
      <w:pPr>
        <w:pStyle w:val="TextBody"/>
        <w:bidi w:val="0"/>
        <w:spacing w:before="360" w:after="283"/>
        <w:jc w:val="both"/>
        <w:rPr>
          <w:rFonts w:ascii="Times New Roman" w:hAnsi="Times New Roman"/>
          <w:sz w:val="20"/>
        </w:rPr>
      </w:pPr>
      <w:r>
        <w:rPr>
          <w:rFonts w:ascii="Times New Roman" w:hAnsi="Times New Roman"/>
          <w:b/>
          <w:i/>
          <w:color w:val="000000"/>
          <w:sz w:val="20"/>
        </w:rPr>
        <w:t>Export Sales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Most of Yuchai’s products that are exported outside of China are sold indirectly through third-party distributors who purchase them from Yuchai and resell them to end-users in subsequent and separate transactions. Yuchai exports a very small percentage of its products directly outside China. In 2025, Yuchai’s direct export revenue was RMB 391.0 million, representing 1.6% of its total revenue, compared to RMB 301.4 million, representing 1.6% of total revenue in 2024, and RMB 129.1 million, representing 0.7% of total revenue in 2023. </w:t>
      </w:r>
    </w:p>
    <w:p>
      <w:pPr>
        <w:pStyle w:val="TextBody"/>
        <w:bidi w:val="0"/>
        <w:spacing w:before="360" w:after="283"/>
        <w:jc w:val="both"/>
        <w:rPr>
          <w:rFonts w:ascii="Times New Roman" w:hAnsi="Times New Roman"/>
          <w:sz w:val="20"/>
        </w:rPr>
      </w:pPr>
      <w:r>
        <w:rPr>
          <w:rFonts w:ascii="Times New Roman" w:hAnsi="Times New Roman"/>
          <w:b/>
          <w:i/>
          <w:color w:val="000000"/>
          <w:sz w:val="20"/>
        </w:rPr>
        <w:t>Customer Service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committed to building a professional customer service team and standardized customer service processes to provide high-quality services to our customers and the end users of our OEM customers. Yuchai has established a dedicated after-sales service team, providing a comprehensive after-sales service system that includes technical support, product commissioning, repair and maintenance, user operation and maintenance training and skills-enhancement training. Yuchai’s after-sales service team is primarily responsible for receiving and addressing customer complaints, conducting product diagnosis and providing after-sales maintenance and technical support. Yuchai has an extensive network of authorized service stations, providing comprehensive after-sales support with over 6,000 domestic service stations across and more than 500 authorized service stations overseas.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products are covered by a warranty policy under which the costs of any warranty-related services or repairs are borne by Yuchai and all non-warranty activities are charged to customers. In relation to its products which are under warranty cover, Yuchai’s authorized service stations perform inspections and repairs on its products free of charge according to related warranty policy, to its customers or other end users, and subsequently report and settle the corresponding costs (including the service fees of the authorized service stations) on its customer relationship (CRM) system with such costs borne by Yuchai. Upon expiry of the warranty, our authorized service stations can continue to serve our customers or other end users with the costs borne by the customers or other end users. </w:t>
      </w:r>
    </w:p>
    <w:p>
      <w:pPr>
        <w:pStyle w:val="TextBody"/>
        <w:bidi w:val="0"/>
        <w:spacing w:before="360" w:after="283"/>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industry in which we operate is highly competitive and concentrated, and we face intense competition across our product types. We believe that we compete with our competitors for customers and market share on the basis of various factors, including brand recognition, the performance, quality, and reliability of our products, R&amp;D capability, products’ compliance with emission standards, price, scale network, and after-sales service. Yuchai believes that its engines are highly regarded by on-road and off-road OEMs and consumers for leading performance and reliability. In addition, Yuchai believes that its nationwide network of authorized service stations and repair training centers in China provides a competitive advantage in after-sales support.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compete primarily with major and well-established domestic Chinese and foreign competitors across each of our business and product segments. In certain markets and product categories, our competitors include our customers and their affiliates. In 2025, our sales to our top five customers accounted for 35.5% of our total revenue, with our top customer being a leading automobile manufacturer group in China that also competes with us. Some of Yuchai’s competitors have formed joint ventures with, or have technology assistance arrangements with, international diesel engine manufacturers or engine design consulting firms, and use foreign technology that is more advanced than our technology. We expect competition to intensify as a result of, among other things, improvements in competitors’ products, increased production capacity of competitors, and aggressive pricing strategies. Production capacity in the diesel engine industry has increased over the years, which has further intensified competition. See “Item 3. Key Information — D. Risk Factors — Risks Related to Our Business and Industry — Competition from other diesel engine manufacturers may adversely affect our financial condition, results of operations, business or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ongoing development of the NEV market and the rapid advancement of new energy technologies may increase competitive pressures on our engine business and reduce demand for traditional diesel engine products. See “Item 3. Key Information — D. Risk Factors — China’s vehicle and machinery industries are increasing their momentum to new energy applications. This may lead to a decrease in demand for our engines, affecting our business volume and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competition landscape has become increasingly challenging in recent years amid China’s economic slowdown and a sluggish real estate market, which have dampened demand for heavy machinery. In addition, increased cost pressures stemming from suppliers facing survival challenges or even closures, lead to higher production costs for Yuchai, while intense market competition limits the ability for Yuchai to adjust sales prices accordingly. See “Item 3. Key Information — D. Risk Factors — Risks Related to Our Business and Industry — We are dependent on our suppliers, some of whom are our single source suppliers for the components they supply.”</w:t>
      </w:r>
    </w:p>
    <w:p>
      <w:pPr>
        <w:pStyle w:val="TextBody"/>
        <w:bidi w:val="0"/>
        <w:spacing w:before="360" w:after="283"/>
        <w:jc w:val="both"/>
        <w:rPr>
          <w:rFonts w:ascii="Times New Roman" w:hAnsi="Times New Roman"/>
          <w:sz w:val="20"/>
        </w:rPr>
      </w:pPr>
      <w:r>
        <w:rPr>
          <w:rFonts w:ascii="Times New Roman" w:hAnsi="Times New Roman"/>
          <w:b/>
          <w:color w:val="000000"/>
          <w:sz w:val="20"/>
        </w:rPr>
        <w:t>Joint Ventures and Strategic Alliances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has entered into a number of strategic alliances and joint ventures to support its growth strategy, expand its product offerings and strengthen its competitive position. The following is a summary of Yuchai’s key joint ventures and strategic alliances: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Y&amp;C Engine Co., Ltd. (“Y&amp;C”) is a 45% joint venture of Yuchai established in August 2009 with Jirui United Heavy Industry Co., Ltd. (a joint venture owned by China International Marine Containers Group Ltd, Chery Commercial Vehicle (Anhui) Co., Ltd. and other investors) and Shenzhen City Jiusi Investment Management Co., Ltd. Y&amp;C focuses on the production of heavy-duty vehicle engines.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MTU Yuchai Power Company Limited (“MTU Yuchai Power”), established in January 2017, is a 50-50 joint venture between our subsidiary, MGP and MTU Friedrichshafen GmbH (“MTU”), a subsidiary of Rolls-Royce Power Systems, for producing the </w:t>
      </w:r>
      <w:r>
        <w:rPr>
          <w:rFonts w:ascii="Times New Roman" w:hAnsi="Times New Roman"/>
          <w:i/>
          <w:color w:val="000000"/>
          <w:sz w:val="20"/>
        </w:rPr>
        <w:t>mtu</w:t>
      </w:r>
      <w:r>
        <w:rPr>
          <w:color w:val="000000"/>
        </w:rPr>
        <w:t xml:space="preserve"> </w:t>
      </w:r>
      <w:r>
        <w:rPr>
          <w:rFonts w:ascii="Times New Roman" w:hAnsi="Times New Roman"/>
          <w:color w:val="000000"/>
          <w:sz w:val="20"/>
        </w:rPr>
        <w:t xml:space="preserve">Series 4000 diesel engines for power generation and oil &amp; gas applications primarily for the China market. In 2024, MGP and MTU entered into a second phase of cooperation, expanding MTU Yuchai Power’s production and localization of the </w:t>
      </w:r>
      <w:r>
        <w:rPr>
          <w:rFonts w:ascii="Times New Roman" w:hAnsi="Times New Roman"/>
          <w:i/>
          <w:color w:val="000000"/>
          <w:sz w:val="20"/>
        </w:rPr>
        <w:t xml:space="preserve">mtu </w:t>
      </w:r>
      <w:r>
        <w:rPr>
          <w:rFonts w:ascii="Times New Roman" w:hAnsi="Times New Roman"/>
          <w:color w:val="000000"/>
          <w:sz w:val="20"/>
        </w:rPr>
        <w:t xml:space="preserve">Series 4000, and adding new production and sales of the </w:t>
      </w:r>
      <w:r>
        <w:rPr>
          <w:rFonts w:ascii="Times New Roman" w:hAnsi="Times New Roman"/>
          <w:i/>
          <w:color w:val="000000"/>
          <w:sz w:val="20"/>
        </w:rPr>
        <w:t>mtu</w:t>
      </w:r>
      <w:r>
        <w:rPr>
          <w:color w:val="000000"/>
        </w:rPr>
        <w:t xml:space="preserve"> </w:t>
      </w:r>
      <w:r>
        <w:rPr>
          <w:rFonts w:ascii="Times New Roman" w:hAnsi="Times New Roman"/>
          <w:color w:val="000000"/>
          <w:sz w:val="20"/>
        </w:rPr>
        <w:t>Series 2000 and the Yuchai branded VC series diesel engines, to meet the rapid growth in domestic and overseas power generation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Guangxi Purem Yuchai Automotive Technology Co., Ltd. (“Purem Yuchai”) is a 49% joint venture of Yuchai established in December 2018 with Purem International GmbH (formerly known as Eberspaecher Exhaust Technology International GmbH) to produce and market new exhaust emission control systems for trucks, buses, farming equipment and industrial machinery.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 Simlan, Yuchai’s primary platform for new energy development, was formerly a wholly-owned subsidiary of Yuchai and has become an 87.7% owned subsidiary since February 2023 after receiving strategic investments from Nanning Industrial Investment New Energy Automobile Investment Company and another two unrelated investors. Yuchai Simlan engages in R&amp;D activities to build new production capacity for new energy technologies, including fuel cell systems, range extenders, hybrid power and electric drive systems. In January 2025, Yuchai Simlan further expanded its collaboration with industry partners by jointly establishing Core Power Source Technology (JiangSu) Co., Ltd., which aims to operate as an integrator of range extender hybrid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 Xingshunda New Energy Technology Co., Ltd. (“Yuchai Xingshunda”), incorporated in February 2022, is 65% owned by Yuchai Simlan, with Beijing Xing Shun Da Bus Co., Ltd. holding the remaining, and focuses on the development, manufacturing and sale of fuel cell powertrain systems and core fuel cell power system components for the Beijing, Tianjin and Hebei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Suzhou Yuxing Automobile Technology Co., Ltd. (“Suzhou Yuxing”) was established in May 2022 by Yuchai’s subsidiary, Guangxi Yuchai Machinery Sales and Marketing Development Co., Ltd., (“YMMC”), together with other engine services partners, to provide vehicle performance monitoring, vehicle and engine maintenance and repairs solutions for vehicles using Yuchai engines and engines of other brands. As a result of changes in its shareholding structure, YMMC’s equity interest in Suzhou Yuxing increased from 30% to 45% in 2024, and further increased to 54% in 2025. Suzhou Yuxing has developed its customer base of large-scale fleet operators, such as logistic group companies, and has expanding its business network across China through the establishment of subsidiaries and partnerships with local strategic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Guangxi Yufu Technology Co., Ltd. is a 51% subsidiary of and established in February 2025 by Yuchai’s wholly-owned subsidiary, Guangxi Yuchai Exhaust Technology Co., Ltd. with its supplier, Lotusfairy Power Technologies Corporate, for the production of intelligent urea pumps for engines.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Guangxi Yuchai Precision Mould Technology Co., Ltd was established in October 2025 by Yuchai’s wholly owned subsidiary, Guangxi Yuchai Mould Equipment Company Limited (“YMEC”) and Liuzhou Bohao Machinery Co., Ltd. (“Bohao”). YMEC holds a 63.83% equity interest and remaining 36.17% is owned by Bohao. The company focuses on the production of stamping die and stamping vehicle components for new energy vehicles.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Guangxi CIMC Yusheng Supply Chain Technology Co., Ltd. (“Yusheng”) is established in December 2025 by Yuchai’s subsidiary, YMMC, with Guangxi Southern CIMC Logistics Equipment Co., Ltd. (“CIMC”). YMMC and Guangxi CIMC hold 34% and 66% equity interests, respectively. The incorporation of Yuchai is part of Yuchai’s efforts to improve its warehousing and logistics management and operational efficiency. During the transition period prior to the completion of Yuchai’s intelligent warehousing and logistics upgrades, Yusheng will undertake Yuchai’s existing logistics activities and, thereafter, will serve as a platform to provide logistics and warehousing services to Yuchai group of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Nanyue Diankong (Hengyang) Industrial Technology Company Limited is a national high-tech enterprise specializing in fuel injection systems, including common rail systems, unit pumps and mechanical pumps used in powertrain applications. In December 2025, Yuchai acquired a 27.97% equity interest in the company.</w:t>
      </w:r>
    </w:p>
    <w:p>
      <w:pPr>
        <w:pStyle w:val="TextBody"/>
        <w:bidi w:val="0"/>
        <w:spacing w:before="360" w:after="283"/>
        <w:jc w:val="both"/>
        <w:rPr>
          <w:rFonts w:ascii="Times New Roman" w:hAnsi="Times New Roman"/>
          <w:sz w:val="20"/>
        </w:rPr>
      </w:pPr>
      <w:r>
        <w:rPr>
          <w:rFonts w:ascii="Times New Roman" w:hAnsi="Times New Roman"/>
          <w:b/>
          <w:color w:val="000000"/>
          <w:sz w:val="20"/>
        </w:rPr>
        <w:t>The HLGE Group</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February 27, 2026, we had a 49.1% interest in the outstanding ordinary shares of HLGE. See “Item 5. Operating and Financial Review and Prospects — Business Expansion and Diversification Plan.” HLGE is listed on the Main Board of the Singapore Exchange. HLGE’s share price on the Singapore Exchange closed at S$0.455 on February 27, 2026. The core businesses of the HLGE Group are that of hospitality operations and property development.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HLGE wholly owns Copthorne Hotel Cameron Highlands (“CHCH”) in Cameron Highlands (Malaysia). CHCH is situated at the highest accessible point of Cameron Highlands, Malaysia, with 269 guest rooms and suites. Located next to the hotel, there is a Tudor-styled resort, where 51 units have been leased by the hotel from the owners of the resort for use by its guests. The resort comprises self-contained low- and high-rise apartment suites and each suite is equipped with a living room, a kitchenette and a balcony. To maintain its competitiveness, HLGE carries out renovation programs at CHCH from time to time as required.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was a loan amounting to S$93 million granted to HLGE by a wholly-owned subsidiary of our Company to refinance the outstanding zero coupon unsecured non-convertible bonds previously issued by HLGE, which matured on July 3, 2009. The loan amount was reduced to S$68 million through past repayments by HLGE and subsequently fully repaid by a portion of the proceeds from the Two Disposals in 2017.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HLGE Group may require additional funds for its core businesses and to invest in future growth opportunities. There is no assurance that the HLGE Group would be able to generate sufficient internal funds to finance its growth plans or identify and complete any potential merger and acquisition opportunities to grow its earnings base. Accordingly, the HLGE Group may, depending on the cash flow requirements and financial condition, need to raise additional funds by issuing equity or a combination of equity and debt or by entering into strategic relationships or through other arrangements. Any additional equity financing by HLGE may dilute our equity interests in HLGE. Any debt financing may contain restrictive covenants with respect to dividends, future capital raising and other financial and operational matters. Failure to obtain sufficient funds to finance its growth plans may adversely affect the HLGE Group’s business, financial performance and financial position.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more information on risks relating to our investment in HLGE, see “Item 3. Key Information — D. Risk Factors — Risks Related to Our Business and Industry — The HLGE Group’s hotel ownership and management business may be adversely affected by risks inherent in the hotel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Organizational Structure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chart illustrates the organizational structure of the Company and Yuchai as of February 27, 2026 and is based on information generally known to the Company or otherwise disclosed in filings made with the SEC (see also “Item 7. Major Shareholders and Related Party Transactions — A. Major Shareholders”). This chart depicts the Company’s significant subsidiaries only. See Exhibit 8.1 for more information on the particulars of the Company’s subsidiaries.</w:t>
      </w:r>
    </w:p>
    <w:p>
      <w:pPr>
        <w:pStyle w:val="TextBody"/>
        <w:bidi w:val="0"/>
        <w:spacing w:before="120" w:after="283"/>
        <w:jc w:val="center"/>
        <w:rPr/>
      </w:pPr>
      <w:r>
        <w:rPr/>
        <w:t> </w:t>
      </w:r>
    </w:p>
    <w:p>
      <w:pPr>
        <w:pStyle w:val="TextBody"/>
        <w:bidi w:val="0"/>
        <w:jc w:val="center"/>
        <w:rPr/>
      </w:pPr>
      <w:r>
        <w:rPr/>
        <w:t> </w:t>
      </w:r>
    </w:p>
    <w:p>
      <w:pPr>
        <w:pStyle w:val="TextBody"/>
        <w:bidi w:val="0"/>
        <w:jc w:val="center"/>
        <w:rPr/>
      </w:pPr>
      <w:r>
        <w:rPr/>
        <w:drawing>
          <wp:inline distT="0" distB="0" distL="0" distR="0">
            <wp:extent cx="5991225" cy="678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91225" cy="67818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Property, Plant and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Yuchai’s headquarters and primary manufacturing facilities are located in Yulin City in the Guangxi Zhuang Autonomous Region. Yuchai has the right to use approximately two million square meters of land, which is used primarily for production and employee housing. The principal production land area currently occupies approximately 1.8 million square meters, including the production factories and warehouses for all light-, medium- and heavy-duty engine models, a natural gas testing facility, a high horse power marine diesel engine and power generation engine plant, foundries, and various testing and supporting facilities. Yuchai also has production and assembly facilities for new energy products in Nanning, Guangxi Zhuang Autonomous Region, and Wuxi in Jiangsu Province. In addition, Yuchai leases a number of regional sales offices in China. For the year ended December 31, 2023, 2024 and 2025, the total production capacity of Yuchai in Yulin City, Guangxi Zhuang Autonomous Region, was approximately 633,000 units each year, based on a 2.0 shift five-day week at 80% utilization rate. Yuchai performs periodic maintenance and upgrading of production facilities. Yuchai also commits a significant portion of its annual capital expenditure for maintenance and upgrading to meet safety and production requirements. Yuchai is potentially exposed to varying environmental or natural disaster risks and could experience business interruptions, damage to its facilities and loss of life, all of which could have a material adverse effect on Yuchai’s business, financial condition and results of operations. See “— B. Business Overview — Products and Key Product Development — Yuchai — Production.”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Governance, Operation and Dissolution of Yuchai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Governance, operation and dissolution of Yuchai are governed by the PRC Foreign Investment Law, or the FIL, the Company Law of the People’s Republic of China which was initially promulgated on December 29, 1993 and other related laws and regulations, as well as by Yuchai’s Articles of Association. On December 29, 2023, the Standing Committee of the National People’s Congress further amended the Company Law, and this amendment mainly included the improvement of a company’s establishment and exit system, the optimization of a company’s organization, the improvement of a company’s capital system, the reinforcement of the responsibilities of controlling shareholders and management personnel, and the enhancement of a company’s social responsibility, etc. This amendment took effect on July 1, 2024. Yuchai is subject to the relevant PRC labor laws and regulations with respect to labor management, which is overseen by the Ministry of Human Resources and Social Security. In accordance with these laws and regulations, management may hire and discharge employees and make other determinations with respect to wages, welfare, insurances and employee discipline. PRC laws and regulations require that before any company, including an FIE such as Yuchai, distributes profits, it must: (i) satisfy all tax liabilities; (ii) recover losses in previous years; and (iii) make contributions to statutory reserve fund in an amount equal to at least 10% of net income for the year determined in accordance with generally accepted accounting principles in China, or PRC GAAP. However, the allocation of statutory reserve fund will not be further required once the accumulated amount of such fund reaches 50% of the registered capital of Yuchai.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was previously a Sino-foreign joint stock company and was subject to the laws and regulations relating to joint stock limited liability companies and Sino-foreign joint venture companies in China, including the Sino-Foreign Equity Joint Venture Law. On March 15, 2019, the FIL was adopted. Upon its effectiveness on January 1, 2020, the Sino-Foreign Equity Joint Venture Law, the Wholly Foreign Owned Enterprise Law and the Sino-Foreign Cooperative Joint Venture Law, together with their implementation rules and ancillary regulations, were repealed and the FIL became the legal foundation regulating FIEs. The FIL grants national treatment to FIEs, except for those FIEs that operate in industries specified as either “restricted” or “prohibited” from foreign investment in a “negative list”. Yuchai is an FIE governed by the FIL and related implementation rules. See also “Item 3. Key Information — D. Risk Factors — General Risk Factor — Uncertainties in the interpretation and enforcement of PRC laws and regulations could limit the legal protections available to you and us.”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Pursuant to Chinese law and Yuchai’s Articles of Association, Yuchai may be dissolved upon the occurrence of certain events, such as </w:t>
      </w:r>
      <w:r>
        <w:rPr>
          <w:rFonts w:ascii="Times New Roman" w:hAnsi="Times New Roman"/>
          <w:i/>
          <w:color w:val="000000"/>
          <w:sz w:val="20"/>
        </w:rPr>
        <w:t>force majeure</w:t>
      </w:r>
      <w:r>
        <w:rPr>
          <w:rFonts w:ascii="Times New Roman" w:hAnsi="Times New Roman"/>
          <w:color w:val="000000"/>
          <w:sz w:val="20"/>
        </w:rPr>
        <w:t xml:space="preserve">, severe losses, inability to obtain necessary supplies and other events that render Yuchai unable to continue its operations. Upon dissolution, Yuchai will form a liquidation committee. Final dissolution is subject to government review and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2003, we believe affiliates of the GY Group caused various Chinese government agencies to raise allegations of irregularities regarding the status of our ownership of and rights of control over Yuchai, which we believe was intended to try to limit our rights to exercise control over Yuchai. We further believe that such allegations were based on an inaccurate understanding of the structure of our ownership of Yuchai. We also believe that Yuchai’s ownership structure was validly approved by the relevant Chinese authorities, and that the shares of Yuchai held by our six wholly-owned subsidiaries are legally and validly held under Chinese law. We obtained legal opinions from two Chinese law firms confirming these matters (see the reports on Form 6-K filed by the Company with the SEC on April 1, 2005). We also took steps to communicate to the relevant Chinese government agencies the reasons for our position with respect to these matters. We implemented the July 2003 Agreement, the Reorganization Agreement, as amended, and the Cooperation Agreement to resolve the issues raised by the various Chinese governmental agencies relating to our share ownership in Yuchai and the continued corporate governance and other difficulties which we have had from time to time with respect to Yuchai. Based upon the above-mentioned legal opinions, we believe that in the event of a future dispute with the Chinese stakeholders at Yuchai, we expect to pursue as appropriate legal remedies in appropriate jurisdictions to seek to enforce our legal rights as the majority shareholder with a controlling financial interest in Yuchai to protect our investment for our benefit and the benefit of our shareholders. See also “Item 3. Key Information — D. Risk Factors.”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Environmental Matters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Yuchai expects that environmental standards and their enforcement in China will, as in many other countries, become more stringent over time, especially as technical advances make achievement of higher standards feasible. On January 18, 2016, the Ministry of Industry and Information Technology, and the Ministry of Environmental Protection required that all light-duty petrol vehicles, light-duty diesel buses, and heavy-duty diesel vehicles (for the purposes of public transportation, environmental sanitation and postal services) must comply with National V emission standards from January 1, 2017. All heavy- and light-duty diesel vehicles nationwide were required to comply with National V emission standards from July 1, 2017 and January 1, 2018, respectively. In June 2018, the MEE announced that all diesel powered heavy-duty vehicles must comply with the National VI emission standards in different phases: (a) natural gas engines driven heavy-duty vehicles are required to comply with the National VIa emission standards from July 1, 2019, and the National VIb emission standards from January 1, 2021; (b) diesel engine driven municipal vehicles are required to comply with the National VIa emission standards from July 1, 2020, and all diesel driven heavy-duty vehicles are to comply with the National VIa emission standards from July 1, 2021; and (c) all diesel driven heavy-duty vehicles are required to comply with the National VIb emission standards from July 1, 2023. In December 2020, the MEE announced the approval of Tier-4 emission standards and any off-road machinery (below 560 kW) that does not comply with the Tier-4 emission standards is prohibited for production, import and selling in China from December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Chinese national and local environmental protection regulations, which currently impose environmental protection tax for the discharge of waste substances, require the payment of fines for pollution, and provide for the closure of any facility that fails to comply with orders requiring us to cease or improve upon certain activities causing environmental damage. Due to the nature of our business, we produce certain amounts of waste water, gas and solid waste materials during the course of our production. Yuchai has set up a sewage disposal system that meets national environmental discharge standards to process polluted water generated during production. In accordance with applicable regulations, sewage processing data and results of sewage treatment will be uploaded in real time to an online platform operated by the Ecology and Environment Department of the Guangxi Zhuang Autonomous Region. Polluted water will only be discharged upon confirmation that it meets the national standards. Yuchai delivers solid waste products to qualified third-party waste disposal sites for disposal and makes payments in respect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recyclable waste such as foundry sand, third-party disposal sites with qualification would be engaged for recycling treatment to reduce waste of resources. In addition, Yuchai has also built treatment and filter systems for dust, fumes, panting and noise, respectively, to reduce the pollution resulting from Yuchai’s production. We believe our environmental protection facilities and systems are adequate for us to comply with the existing national, provincial and local environmental protection regulations. However, Chinese national, provincial or local authorities may impose additional or more stringent regulations which would require additional expenditure on environmental matters or changes in our processes or systems. See “Item 3. Key Information — D. Risk Factors — Risk Related to our Business and Industry — We are subject to increasingly stringent policies and regulations related to the environment, climate change, and employee health and safety.”</w:t>
      </w:r>
    </w:p>
    <w:p>
      <w:pPr>
        <w:pStyle w:val="TextBody"/>
        <w:bidi w:val="0"/>
        <w:spacing w:before="360" w:after="283"/>
        <w:jc w:val="both"/>
        <w:rPr>
          <w:rFonts w:ascii="Times New Roman" w:hAnsi="Times New Roman"/>
          <w:sz w:val="20"/>
        </w:rPr>
      </w:pPr>
      <w:bookmarkStart w:id="11" w:name="item_4a"/>
      <w:bookmarkEnd w:id="11"/>
      <w:r>
        <w:rPr>
          <w:rFonts w:ascii="Times New Roman" w:hAnsi="Times New Roman"/>
          <w:b/>
          <w:color w:val="000000"/>
          <w:sz w:val="20"/>
        </w:rPr>
        <w:t>ITEM 4A. UNRESOLVED STAFF COMMENTS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the date of this Annual Report, we have no unresolved comments from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bookmarkStart w:id="12" w:name="item_5"/>
      <w:bookmarkEnd w:id="12"/>
      <w:r>
        <w:rPr>
          <w:rFonts w:ascii="Times New Roman" w:hAnsi="Times New Roman"/>
          <w:b/>
          <w:color w:val="000000"/>
          <w:sz w:val="20"/>
        </w:rPr>
        <w:t>ITEM 5. OPERATING AND FINANCIAL REVIEW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discussion of our financial condition and results of operations should be read in conjunction with the consolidated financial statements and the related notes included elsewhere in this Annual Report. This discussion contains forward-looking statements that involve risks and uncertainties. Our actual results may differ significantly from those projected in the forward-looking statements. Factors that might cause future results to differ significantly from those projected in the forward-looking statements include, but are not limited to, those discussed below and elsewhere in this Annual Report. Our consolidated financial statements and the financial information discussed below have been prepared in accordance with IFRS Accounting Standards.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fiscal years ended December 31, 2023, 2024 and 2025, our main business has been our 76.4% ownership interest in Yuchai. As a result, our financial condition and results of operations have depended primarily upon Yuchai’s financial condition and results of operations.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Chinese economy maintained a stable GDP growth of 5% in 2025. According to CAAM, the total industry unit sales of commercial vehicles (excluding gasoline-powered and electric-powered vehicles) increased by 4.5% year-over-year (“YoY”) to 2.4 million units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Yuchai, total number of engines sold in 2025 increased by 29.4% YoY to 461,309 units, compared with 356,586 units in 2024. Our on-road engine sales outperformed the overall truck and bus markets in 2025, reporting 42.8% growth in both truck and bus combined. Our off-road segments continued to deliver unit growth of 13.0% YoY, with both industrial and marine and genset unit sales growth of more than 24% YoY despite lower agricultural engine unit sales. Our gross profit increased by 44.3% to RMB 4.1 billion (US$587.6 million) from RMB 2.8 billion in 2024. Gross margin increased to 16.5% from 14.7% in 2024. The increase was mainly attributable to higher unit sales volume, a change of sales mix with higher unit sales of heavy-duty and high-horsepower engines, and continuing cost reduction initiatives.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R&amp;D expenditures, including capitalized costs, were RMB 1.5 billion (US$220.4 million) in 2025 compared with RMB 1.2 billion in 2024. During the year, Yuchai continued its initiatives to enhance the engine efficiency and performance of its National VI and Tier-4 emission standards compliant engines and power generation engines for data centers and marine applications, while also advancing its new energy solutions. Our joint ventures witnessed significant improvements, mainly driven by higher profits of 18.8% at MTU Yuchai Power and increased profits at Purem Yuchai. Yuchai’s gains contributed to a 66.3% rise in net profit attributable to China Yuchai’s shareholders, reaching RMB 537.4 million (US$77.6 million) compared with RMB 323.1 million in 2024. This growth translates to an increase in earnings per share to RMB 14.32 (US$2.07) for 2025, compared to RMB 8.21 for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Demands for power and marine propulsion are accelerating the shift to more advanced engines. Surging AI and data</w:t>
        <w:noBreakHyphen/>
        <w:t>center workloads require stronger power</w:t>
        <w:noBreakHyphen/>
        <w:t>generation solutions. Sales of combined MTU Yuchai Power and Yuchai-branded high horsepower engines to data centers exceeded 2,000 units in 2025, up from 750 units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parallel with these developments, we continue to expand our capabilities in new energy technologies. Yuchai established Yuchai Simlan in 2021 as its primary platform for the development of new energy power systems and products. In 2023, Yuchai Simlan established its own wholly-owned subsidiary, Cynland Hyentech, to focus on the development of hydrogen fuel cells and stacks, as well as the assembly of fuel cell systems and powertrains. Through Yuchai Simlan and Cynland Hyentech, we continue to invest and develop new energy power systems and products for both on- and off-road vehicles and equipment. These initiatives demonstrate our commitment to advancing new energy technologies, reducing carbon emissions, and promoting environmental sustainability.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enhance operational efficiency and support long-term growth, Yuchai has executed a series of strategic restructuring initiatives in recent years. We established Guangxi SKY Cloud Technology Co., Ltd., to develop proprietary operating systems with enhanced data analytics capabilities for smart and connected solutions applicable to a wide range of vehicles and machinery. We have also streamlined our specialized business segments by consolidating our marine and power generator businesses including the MTU Yuchai Power JV under MGP. In addition, we carved out certain existing businesses into specialized entities, including Yuchai Foundry Co., Ltd. to enhance operational control, foster innovation and optimize resource allocation.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continue advancing our globalization efforts. In 2024, Yuchai Thailand commenced production operations for diesel and natural gas engines. During the same year, Yuchai entered into a strategic cooperation agreement with Kim Long Motor Hue, or Kim Long Motor, a subsidiary of Vietnam’s FUTA Group, to provide technology know-how, component supply and related support, and services for the construction of an engine manufacturing factory at Kim Long Motor’s designated site in Vietnam. We are also expanding our international sales and support offices, as we believe potential international partnerships will strengthen our global reach. Our strategy remains focused on serving multiple end markets with a growing and increasingly diversified product portfolio.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Chinese automotive industry continues to be highly competitive. Our ability to successfully compete in our industry will be fundamental to our future success in our existing and new markets. See “Item 3. Key Information — D. Risk Factors — Risks Related to Our Business and Industry” for further details. </w:t>
      </w:r>
    </w:p>
    <w:p>
      <w:pPr>
        <w:pStyle w:val="TextBody"/>
        <w:bidi w:val="0"/>
        <w:spacing w:before="360" w:after="283"/>
        <w:jc w:val="both"/>
        <w:rPr>
          <w:rFonts w:ascii="Times New Roman" w:hAnsi="Times New Roman"/>
          <w:sz w:val="20"/>
        </w:rPr>
      </w:pPr>
      <w:r>
        <w:rPr>
          <w:rFonts w:ascii="Times New Roman" w:hAnsi="Times New Roman"/>
          <w:b/>
          <w:color w:val="000000"/>
          <w:sz w:val="20"/>
        </w:rPr>
        <w:t>Business Expansion and Diversification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implementation of our business expansion and diversification plan as approved by our Board of Directors in 2005, we looked for new business opportunities to reduce our financial dependence on Yuchai and invested in the following companies: </w:t>
      </w:r>
    </w:p>
    <w:p>
      <w:pPr>
        <w:pStyle w:val="TextBody"/>
        <w:bidi w:val="0"/>
        <w:spacing w:before="360" w:after="283"/>
        <w:jc w:val="both"/>
        <w:rPr>
          <w:rFonts w:ascii="Times New Roman" w:hAnsi="Times New Roman"/>
          <w:sz w:val="20"/>
        </w:rPr>
      </w:pPr>
      <w:r>
        <w:rPr>
          <w:rFonts w:ascii="Times New Roman" w:hAnsi="Times New Roman"/>
          <w:b/>
          <w:i/>
          <w:color w:val="000000"/>
          <w:sz w:val="20"/>
        </w:rPr>
        <w:t>Thakral Corporation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first step in implementing this plan occurred in March 2005 when through VDL, we acquired a 15.0% equity interest in TCL. As of December 2009, our equity interest in TCL was 34.4%. The TCL group invests directly or with co-investors in real estate and other investment opportunities which include property-backed financial instruments. Since the fiscal year 2010, we have gradually reduced our equity interest in TCL. In 2022, we fully disposed of our shareholding interest in TCL. </w:t>
      </w:r>
    </w:p>
    <w:p>
      <w:pPr>
        <w:pStyle w:val="TextBody"/>
        <w:bidi w:val="0"/>
        <w:spacing w:before="360" w:after="283"/>
        <w:jc w:val="both"/>
        <w:rPr>
          <w:rFonts w:ascii="Times New Roman" w:hAnsi="Times New Roman"/>
          <w:sz w:val="20"/>
        </w:rPr>
      </w:pPr>
      <w:r>
        <w:rPr>
          <w:rFonts w:ascii="Times New Roman" w:hAnsi="Times New Roman"/>
          <w:b/>
          <w:i/>
          <w:color w:val="000000"/>
          <w:sz w:val="20"/>
        </w:rPr>
        <w:t>HL Global Enterprises Limited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second step in the implementation of our business expansion and diversification plan occurred in February 2006 when we acquired a 29.1% equity interest in HLGE and certain convertible preference and debt securities through two wholly-owned subsidiaries for an aggregate consideration of approximately S$132.0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13, 2012, our wholly-owned subsidiary, Grace Star Services Limited (“Grace Star”) transferred 24,189,170 Series B redeemable convertible preference shares of HLGE (the “Trust Preference Shares”) to Amicorp Trustees (Singapore) Limited (the “Trustee”) pursuant to a trust deed entered into between HLGE and the Trustee (the “Trust”). The Trust Preference Shares were mandatorily converted into 24,189,170 new ordinary shares in the capital of HLGE (the “Trust Shares”) on January 16, 2012, resulting in our shareholding interest in HLGE decreasing from 49.4% to 48.1%. On April 4, 2012, as a result of the conversion of all the outstanding Series A redeemable convertible preference shares held by our wholly-owned subsidiaries, VDL and Grace Star, into new ordinary shares in the capital of HLGE, our shareholding interest in HLGE increased from 48.1% to 48.9%. In November 2025, Grace Star acquired 200,000 ordinary shares of HLGE, resulting in our shareholding interest in HLGE increasing from 48.9% to 49.1%.</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Trust Shares are accounted for as treasury shares by HLGE as they are issued by HLGE and held by the Trust, which is considered as part of HLGE. As a result, based on the total outstanding ordinary shares of HLGE net of the Trust Shares, our shareholding interest in HLGE is stated as 50.4% for accounting purposes in the Company’s consolidated financial statements for the year ended December 31, 2025. However, these Trust Shares are not regarded as treasury shares under the Singapore Companies Act, Chapter 50, and the Trustee has the power, </w:t>
      </w:r>
      <w:r>
        <w:rPr>
          <w:rFonts w:ascii="Times New Roman" w:hAnsi="Times New Roman"/>
          <w:i/>
          <w:color w:val="000000"/>
          <w:sz w:val="20"/>
        </w:rPr>
        <w:t xml:space="preserve">inter alia, </w:t>
      </w:r>
      <w:r>
        <w:rPr>
          <w:rFonts w:ascii="Times New Roman" w:hAnsi="Times New Roman"/>
          <w:color w:val="000000"/>
          <w:sz w:val="20"/>
        </w:rPr>
        <w:t xml:space="preserve">to vote or abstain from voting in respect of the Trust Shares at any general meeting of HLGE in its absolute discretion and to waive its right to receive dividends in respect of the Trust Shares as it deems fit. Accordingly, based on the total outstanding ordinary shares of HLGE including the Trust Shares, our shareholding interest in HLGE is 49.1% as of December 31, 2025 and February 27, 2026. We consolidate the results of HLGE as a subsidiary of our Company. See Note 1.3 to the accompanying consolidated financial statements in Item 18.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Operating Results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selected consolidated statement of financial position data as of December 31, 2024 and 2025, and the selected consolidated statement of profit or loss data set forth below for the years ended December 31, 2023, 2024 and 2025 are derived from our audited consolidated financial statements included in this Annual Report. The selected consolidated statement of financial position data as of December 31, 2023 are derived from our audited consolidated financial statements included in our Annual Report for the year ended December 31, 2024 on Form 20-F filed with the SEC on April 25, 2025. Our consolidated financial statements as of December 31, 2024 and 2025 and for the years ended December 31, 2023, 2024, and 2025 have been prepared in conformity with IFRS Accounting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own, through six of our wholly-owned subsidiaries, 76.4% of the outstanding shares of Yuchai. Our ownership interest in Yuchai is our main business asset. As a result, our financial condition and results of operations depend primarily upon Yuchai’s financial condition and results of operations, and the continued implementation of the Reorganization Agreement, as amended by the Cooperation Agreement. We also have a 49.1% interest in the outstanding ordinary shares of HLGE.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49"/>
        <w:gridCol w:w="146"/>
        <w:gridCol w:w="146"/>
        <w:gridCol w:w="1096"/>
        <w:gridCol w:w="166"/>
        <w:gridCol w:w="146"/>
        <w:gridCol w:w="146"/>
        <w:gridCol w:w="1096"/>
        <w:gridCol w:w="166"/>
        <w:gridCol w:w="146"/>
        <w:gridCol w:w="146"/>
        <w:gridCol w:w="1096"/>
        <w:gridCol w:w="166"/>
        <w:gridCol w:w="146"/>
        <w:gridCol w:w="146"/>
        <w:gridCol w:w="991"/>
        <w:gridCol w:w="211"/>
      </w:tblGrid>
      <w:tr>
        <w:trPr/>
        <w:tc>
          <w:tcPr>
            <w:tcW w:w="4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US$</w:t>
            </w:r>
            <w:r>
              <w:rPr>
                <w:rFonts w:ascii="Times New Roman" w:hAnsi="Times New Roman"/>
                <w:b/>
                <w:color w:val="000000"/>
                <w:sz w:val="11"/>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 of Profit or Loss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19,133,575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(2,974,825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Gross profit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Selling, general and administrative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of associates and joint ventures,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 per share attributable to equity</w:t>
              <w:br/>
              <w:t>   holders of the Company (RMB/US$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 per share (RMB/US$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Selected Consolidated Statement of Financial Position </w:t>
              <w:br/>
              <w: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Working capital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7,290,726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1,022,119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27,048,094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31,958,501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Trade and other payables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10,465,519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and long-term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attributable to equity holders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Company’s functional currency is US dollar and its reporting currency is Renminbi. The functional currency of Yuchai is Renminbi. Translation of amounts from Renminbi to US dollar is solely for the convenience of the reader. Translation of amounts from Renminbi to US dollar has been made at the rate of RMB 6.9228 = US$1.00, the rate quoted by the PBOC at the close of business on February 27, 2026. No representation is made that the Renminbi amounts could have been, or could be, converted into US dollar at that rate or at any other rate prevailing on February 27, 2026 or any other date. The rate quoted by the PBOC at the close of business on December 31, 2025 was RMB 7.0288 = US$1.00.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management reclassified assurance-type warranty expenses from selling, general and administrative expenses to cost of sales for the year ended December 31, 2024. The comparative figures for the full year ended December 31, 2023 have been adjusted to conform with the 2024 presentation.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Current assets less current liabilities.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Inclusive of non-current other payables.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2025 compared to 2024</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for 2025 was RMB 24.7 billion (US$3.6 billion) compared with RMB 19.1 billion in 2024, an increase of 28.9%. The total number of engines sold by Yuchai in 2025 was 461,309 units compared with 356,586 units in 2024, representing an increase of 104,723 units, or 29.4%. Truck and bus engine unit sales rose by 42.8%, compared with overall vehicle market sales growth of 4.5% for 2025 (according to CAAM data, excluding gasoline- and electric-powered vehicles). Total truck engine unit sales rose by 50.7%, compared with overall truck market unit sales growth of 5.9% YoY (according to CAAM data). Off-road engine unit sales increased by 13.0%, with both industrial and marine and power generator sets unit sales growing more than 24% to offset lower agricultural engine unit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sales consisted of direct material costs, direct labor costs, and direct and indirect production overheads such as wages, depreciation and amortization, warranty expenses and freight charges.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was RMB 4.1 billion (US$587.6 million) in 2025, an increase of 44.3% from RMB 2.8 billion in 2024. Gross profit margin was 16.5% in 2025 compared with 14.7% in 2024. The increase was mainly due to higher unit sales volume, a change of sales mix with higher unit sales of heavy-duty and high horsepower engines, and continuing cost reduction initiatives.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net was RMB 445.9 million (US$64.4 million) in 2025, a decrease of 22.5% from RMB 575.7 million in 2024. This was primarily due to lower bank interest income and reduced government grants.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R&amp;D expenses increased by 37.3% to RMB 1.4 billion (US$195.2 million), compared with RMB 984.7 million in 2024, primarily driven by higher experimental costs, increased personnel expenses, and impairments related to fuel cell development. Yuchai continued with its initiatives to enhance the engine efficiency and performance of its engines compliant with National VI and Tier-4 emission standards, and power generation engines for data centers and marine applications, while also advancing its new energy solutions. Total R&amp;D expenditure, including capitalized costs, was RMB 1.5 billion (US$220.4 million), representing 6.2% of the revenue in 2025, compared with RMB 1.2 billion, or 6.2% of the revenue in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SG&amp;A expenses increased by 14.3% to RMB 2.1 billion (US$299.2 million), representing 8.4% of the revenue in 2025, compared with RMB 1.8 billion, or 9.5% of the revenue in 2024. This was mainly due to higher personnel expenses and consultancy fees, as well as increased after-sales and service expenses that partially offset lower accounts receivable provisions.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operating profit increased by 82.7% to RMB 1.1 billion (US$157.6 million), compared with RMB 597.0 million in 2024. The operating margin was 4.4%, up from 3.1%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Finance costs decreased by 20.8% to RMB 61.8 million (US$8.9 million) from RMB 78.0 million in 2024, primarily due to lower bank term loans.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share of financial results of the associates and joint ventures increased by 9.4% to income of RMB 111.1 million (US$16.0 million), compared with income of RMB 101.5 million in 2024. The improvement was mainly driven by higher profits of 18.8% at MTU Yuchai Power, and increased profits at Purem Yuchai, partially offset by lower profits at Y&amp;C.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Profit before tax was RMB 1.1 billion (US$164.7 million) in 2025 compared with RMB 620.5 million in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expense increased by 156.0% to RMB 329.7 million (US$47.6 million), compared with RMB 128.8 million in 2024. The tax increase was driven by higher profits in 2025 as compared with 2024, and higher deferred tax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 foregoing factors, profit for the year was RMB 810.5 million (US$117.1 million) in 2025 compared with RMB 491.7 million in 2024, representing an increase of 64.8%.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profit attributable to our shareholders increased by 66.3% to RMB 537.4 million (US$77.6 million), compared with RMB 323.1 million in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2024 compared to 2023</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for 2024 was RMB 19.1 billion compared with RMB 18.0 billion in 2023, an increase of 6.0%. The total number of engines sold by Yuchai in 2024 was 356,586 units compared with 313,493 units in 2023, representing an increase of 43,093 units, or 13.7%, primarily due to higher sales in the truck, bus, industrial and marine and power generation markets. Stronger performance in truck and bus engine sales was achieved despite a 2.6% year-over-year decrease in sales of commercial vehicles (excluding gasoline- and electric-powered vehicles) in 2024 as reported by CAAM.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sales consisted of direct material costs, direct labor costs, and direct and indirect production overheads such as wages, depreciation and amortization, warranty expenses and freight charges.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was RMB 2.8 billion in 2024, an increase of 10.8% from RMB 2.5 billion in 2023. Gross profit margin was 14.7% in 2024 compared with 14.1% in 2023. The increase in gross margin was mainly attributable to higher revenue from higher unit sales volume, and continuing cost reduction initiatives, partially offset by greater labor and overhead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net was RMB 575.7 million in 2024, an increase of 30.1% from RMB 442.4 million in 2023. The increase was mainly due to higher government grants, higher rebate on value-added taxes, and recognition of technology licensing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R&amp;D expenses increased by 12.3% to RMB 984.7 million in 2024 compared with RMB 876.6 million in 2023, mainly attributable to higher mold costs and impairment of a discontinued R&amp;D project. We continued with our initiatives to enhance the efficiency and performance of our National VI and Tier-4 emission standards compliant engines with marine and power generation applications, while advancing new energy solutions. In 2024, total R&amp;D expenditures, including capitalized costs, were RMB 1.2 billion, compared with RMB 1.1 billion in 2023, representing 6.2% of the revenue compared with 5.9%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SG&amp;A expenses were RMB 1.8 billion in 2024, representing 9.5% of the revenue, compared with RMB 1.5 billion, representing 8.3% of the revenue in 2023. This increase was mainly due to higher allowance for expected credit loss on trade receivables, and higher travelling, personnel and selling expenses compared with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operating profit decreased by 2.0% to RMB 597.0 million in 2024 from RMB 609.4 million in 2023. Operating margin was 3.1% in 2024 compared with 3.4%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Finance costs decreased by 22.2% to RMB 78.0 million in 2024 from RMB 100.2 million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 of financial results of the associates and joint ventures was an income of RMB 101.5 million in 2024 compared with an income of RMB 62.1 million in 2023. The improvement was mainly driven by higher profits at MTU Yuchai Power. Additionally, Y&amp;C Engine and Purem Yuchai achieved profitability in 2024 compared to a loss last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Profit before tax was RMB 620.5 million in 2024 compared with RMB 571.4 million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Income tax expense in 2024 was RMB 128.8 million compared with RMB 148.5 million in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 foregoing factors, profit for the year was RMB 491.7 million in 2024 compared with RMB 422.9 million in 2023, representing an increase of 16.3%.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profit attributable to our shareholders increased by 13.1% to RMB 323.1 million compared with RMB 285.5 million in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Impact of Inflation and Foreign Currency Fluctuations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average annual inflation in China per CPI for 2025 remained flat compared with 2024, according to the National Bureau of Statistics. The results of our operations may be affected by inflation, particularly rising prices for parts and components, labor costs, raw materials and other operating costs. See “Item 3. Key Information — D. Risk Factors — Risks Related to Our Business and Industry — If prices of energy, raw materials or components increase, it may adversely affect our profitability or cause us to suffer operating losses.”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Substantially all of our revenues and operating expenses are generated by our Chinese operating subsidiaries and are denominated in Renminbi. With our continued increasing international sales and overseas expansion, any inflation and foreign currency fluctuations may adversely affect the results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Yuchai’s results of operations in the first and second quarters of calendar years were typically marginally higher than in the third and fourth quarters of the corresponding year. However, this seasonal trend has not always been consistent and may not be materialized during periods of extraordinary events, such as the COVID period in 2021 and 2022. There are no strict rules governing sales trend in the dynamic market where we operate, and customer purchasing pattern may change based on various factors including government policies, incentives, and market conditions. Any change in these factors may affect the seasonal trend as it has occurred in the past. As a result, cash generated from operations may also be subject to some seasonal variation.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Liquidity and Capital Resources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sources of cash are funds from operations generated by Yuchai, as well as debt financing obtained by us. Our revenues are substantially generated by Yuchai and its subsidiaries, our Chinese operating companies, and are denominated in Renminbi. The Renminbi is currently freely convertible under the “current account” which includes dividends, trade and service-related foreign exchange transactions. However, conversions for dividend payment are subject to bank review and validation in accordance with the PRC regulatory and procedural requirements. The Renminbi is not currently freely convertible under the “capital account” which includes, among other things, foreign direct investment and overseas borrowings by Chinese entities. Some of the conversions between Renminbi and foreign currency under the capital account are subject to regulatory oversight and may require SAFE registration or approval. As a result, there is no material restriction on the ability of the Chinese subsidiaries to transfer funds to Yuchai. However, certain funds transfers from Yuchai to us, such as capital reductions, liquidation proceeds, and external debt repayments, may be subject to bank review or SAFE registration. See “Item 3. Key Information — D. Risk Factors — General Risk Factors — We are a holding company and depend on the ability of our subsidiaries to distribute funds to us in order to satisfy our financial obligations and to make dividend payments. Regulations in China regarding currency conversion could limit our ability to obtain sufficient foreign currency to satisfy our foreign currency requirements or to pay dividends to shareholders.”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primary cash requirements are for working capital, capital expenditures for production capacity expansion and new product developments, dividend payments and other operational requirements. We believe that our sources of liquidity are sufficient for our operational and working capital requirements over the next twelve months from December 31, 2025. However, under the current market conditions, there can be no assurance that our business activity will be maintained at the expected level to generate the anticipated cash flows from operating activities. If the current market conditions deteriorate, we may experience a decrease in demand for our products, resulting in our cash flows from operating activities being lower than anticipated. If our cash flows from operations are lower than anticipated, we may need to obtain additional financing which may not be available on favorable terms, or at all. Other factors which may affect our ability to generate funds from operations include increased competition, fluctuations in customer demand for our products, our ability to collect and control our level of accounts receivable, the financial health of our customers, the status of our investment in Yuchai under Chinese law and the implementation of the Reorganization Agreement and the Cooperation Agreement. See “Item 4. Information on the Company — A. History and Development of the Company — Reorganization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cash and bank balances are primarily held in Renminbi, Singapore dollar and US dollar in accounts managed by third party financial institutions. While we monitor the cash balances in our operating accounts and adjust the cash balances as appropriate, these cash balances could be impacted if the underlying financial institutions fail or could be subjected to other adverse conditions in the financial markets. As of the date of this Annual Report, we have experienced no loss or lack of access to cash in our operating accounts.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we had approximately RMB 7.9 billion (US$1.1 billion) in cash and bank balances on a consolidated basis. We believe that if we are considered on a stand-alone basis without our investment in Yuchai, we would find it difficult to raise new capital (either debt or equity) on our own.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cash generated from operations should provide us with sufficient financial flexibility to satisfy future bank obligations, capital expenditures and projected working capital requirements. However, at certain times, cash generated from operations is subject to seasonal fluctuations. As our business continues to grow, we will also require additional funds for increased working capital requirements and to fund our continued business expansion plans. We expect to fund our working capital requirements primarily from funds from operations generated by Yuchai and, to the extent that is insufficient, from bank borrowings, discounting of bills receivable, follow-on equity offerings, accounts receivable factoring or other financing activities by Yuchai.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the key elements of our cash flows for the last three years: </w:t>
      </w:r>
    </w:p>
    <w:p>
      <w:pPr>
        <w:pStyle w:val="TextBody"/>
        <w:bidi w:val="0"/>
        <w:jc w:val="left"/>
        <w:rPr/>
      </w:pPr>
      <w:r>
        <w:rPr/>
        <w:t> </w:t>
      </w:r>
    </w:p>
    <w:tbl>
      <w:tblPr>
        <w:tblW w:w="10132" w:type="dxa"/>
        <w:jc w:val="left"/>
        <w:tblInd w:w="0" w:type="dxa"/>
        <w:tblLayout w:type="fixed"/>
        <w:tblCellMar>
          <w:top w:w="28" w:type="dxa"/>
          <w:left w:w="28" w:type="dxa"/>
          <w:bottom w:w="28" w:type="dxa"/>
          <w:right w:w="28" w:type="dxa"/>
        </w:tblCellMar>
      </w:tblPr>
      <w:tblGrid>
        <w:gridCol w:w="4531"/>
        <w:gridCol w:w="146"/>
        <w:gridCol w:w="146"/>
        <w:gridCol w:w="931"/>
        <w:gridCol w:w="166"/>
        <w:gridCol w:w="146"/>
        <w:gridCol w:w="146"/>
        <w:gridCol w:w="931"/>
        <w:gridCol w:w="166"/>
        <w:gridCol w:w="146"/>
        <w:gridCol w:w="146"/>
        <w:gridCol w:w="931"/>
        <w:gridCol w:w="166"/>
        <w:gridCol w:w="146"/>
        <w:gridCol w:w="146"/>
        <w:gridCol w:w="931"/>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in foreign</w:t>
              <w:br/>
              <w:t>   currencies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net cash provided by operating activities was RMB 2.7 billion (US$392.7 million). The inflow was mainly derived from operating income of RMB 2.4 billion (US$351.4 million) and cash generated from working capital of RMB 486.5 million (US$70.3 million). The net cash outflow from working capital was mainly due to higher trade and other payables, partially offset by higher trade and other receivables and higher inventories. We settled our income tax liability by a cash payment of RMB 200.9 million (US$29.0 million). In 2024, net cash provided by operating activities was RMB 779.4 million. The inflow was mainly derived from operating income of RMB 1.8 billion, partially offset by cash used for working capital requirements of RMB 887.6 million. The net cash outflow from working capital was mainly due to higher trade and other receivables, partially offset by higher trade and other payables. The Group settled its income tax liability by a cash payment of RMB 113.4 million. In 2023, net cash provided by operating activities was RMB 1.2 billion. The inflow was mainly derived from operating income of RMB 1.4 billion, partially offset by cash used for working capital requirement of RMB 23.1 million. We settled our income tax liability by a cash payment of RMB 109.9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2025, net cash used in investing activities was RMB 274.4 million (US$39.6 million). The outflow was mainly due to the purchase of property, plant and equipment of RMB 483.1 million (US$69.8 million), additional investment in associates of RMB169.9 million (US$24.5 million) and spending on technology development of RMB 164.3 million (US$23.7 million), partially offset by proceeds received from government grants of RMB 258.9 million (US$37.4 million), dividend received from a joint venture of RMB 100.0 million (US$14.4 million), interest received of RMB 97.2 million (US$14.0 million) as well as withdrawal of fixed deposits from banks (net of placement) of RMB 80.2 (US$11.6 million). In 2024, net cash from investing activities was RMB 113.1 million. The inflow was mainly due to the receipt of RMB 217.6 million for proceeds from disposal of a subsidiary in 2023 (excluding RMB 13.4 million, or US$1.9 million which was restricted in use as retention money) and proceeds from government grants of RMB 228.8 million, partially offset by purchase of property, plant and equipment of RMB 360.2 million and spending on technology development of RMB 185.0 million. In 2023, net cash used in investing activities was RMB 113.3 million. The outflow was mainly due to the purchase of property, plant and equipment of RMB 237.8 million, spending on technology development of RMB 169.6 million, partially offset by proceeds from government grants of RMB 257.4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2025, net cash used in financing activities was RMB 828.0 million (US$119.6 million). The outflow was primarily due to net repayment of borrowings (net of proceeds from borrowings) of RMB 489.8 million (US$70.7 million) and dividend payment of RMB 248.9 million (US$35.9 million). In 2024, net cash used in financing activities was RMB 526.6 million. The outflow was primarily due to payment of RMB 285.6 million for our share buyback plan, dividend payment of RMB 177.8 million and payment for finance costs of RMB 75.1 million. In 2023, net cash used in financing activities was RMB 33.7 million. The outflow was primarily due to dividend payment of RMB 115.2 million and payment for finance costs of RMB 96.3 million, partially offset by proceeds from borrowings (net of repayment) of RMB 198.9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relation to cash management, it is our practice to consider various financing options so as to minimize financing costs. The cash generated from operations is used for working capital, capital expenditures, dividend payments and other operational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working capital as of December 31, 2025 was RMB 7.1 billion (US$1.0 billion) compared with RMB 7.3 billion as of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part of our business strategy, we seek opportunities to invest in China domestic manufacturers of diesel engine and new energy parts and components, as well as strategic partners in other related powertrain solution businesses. We may make such investments and acquisitions with funds provided by operations, future debt or equity financing or a combination thereof.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capital expenditures are primarily for expanding and upgrading existing production facilities in order to comply with engine emission standards, enhance production flow, strengthen safety measures, improve testing capability, improve environment control, increase warehousing capacity and support other routine upgrading and replacement. Capital expenditures for building new facilities are part of Yuchai’s ongoing efforts to develop new products and to improve the efficiency and performance of existing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capital expenditures were RMB 348.5 million, RMB 537.9 million and RMB 724.6 million (US$104.7 million) in 2023, 2024 and 2025, respectively. These expenditures were used primarily for expanding and upgrading Yuchai’s production capacity and for technology development for new engines. As our business continues to grow, we will require additional funds for capital expenditures. As of December 31, 2025, we had committed capital expenditures of RMB 465.7 million (US$67.3 million) for upgrading existing facilities and building new facilities. We expect to continue funding our capital expenditures primarily from funds generated by Yuchai’s operations and, to the extent that is insufficient, from bank loans and other financing activities by Yuchai. Yuchai’s ability to obtain financing is limited by regulations in China. Additional capital contributions to Yuchai by us would be subject to filing with the relevant State Administration for Market Regulation. Any borrowing of foreign debt by Yuchai may be subject to registration or approval with the PRC authorities.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and 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information on payments related to our material contractual obligations for the periods indicated as of December 31, 2025: </w:t>
      </w:r>
    </w:p>
    <w:p>
      <w:pPr>
        <w:pStyle w:val="TextBody"/>
        <w:bidi w:val="0"/>
        <w:jc w:val="left"/>
        <w:rPr/>
      </w:pPr>
      <w:r>
        <w:rPr/>
        <w:t> </w:t>
      </w:r>
    </w:p>
    <w:tbl>
      <w:tblPr>
        <w:tblW w:w="6455" w:type="dxa"/>
        <w:jc w:val="left"/>
        <w:tblInd w:w="0" w:type="dxa"/>
        <w:tblLayout w:type="fixed"/>
        <w:tblCellMar>
          <w:top w:w="28" w:type="dxa"/>
          <w:left w:w="28" w:type="dxa"/>
          <w:bottom w:w="28" w:type="dxa"/>
          <w:right w:w="28" w:type="dxa"/>
        </w:tblCellMar>
      </w:tblPr>
      <w:tblGrid>
        <w:gridCol w:w="2131"/>
        <w:gridCol w:w="146"/>
        <w:gridCol w:w="146"/>
        <w:gridCol w:w="721"/>
        <w:gridCol w:w="146"/>
        <w:gridCol w:w="146"/>
        <w:gridCol w:w="146"/>
        <w:gridCol w:w="721"/>
        <w:gridCol w:w="146"/>
        <w:gridCol w:w="146"/>
        <w:gridCol w:w="146"/>
        <w:gridCol w:w="571"/>
        <w:gridCol w:w="146"/>
        <w:gridCol w:w="146"/>
        <w:gridCol w:w="157"/>
        <w:gridCol w:w="50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w:t>
              <w:br/>
              <w:t>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Loans and borrowings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Capital expenditures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Includes contractual interest payments.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timing of the payment will depend on the actual progress of work.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Indebtedness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outstanding bank borrowings of RMB 2.0 billion (US$291.8 million), all of which were incurred by Yuchai.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Yuchai has established banking relationships with a number of domestic Chinese banks, each of which will review Yuchai’s loan applications on a case-by-case basis. From time to time, we may also decide to refinance our indebtedness. As of December 31, 2024, Yuchai had a bank borrowing which was secured by bills receivables. As of December 31, 2025, all bank borrowings are unsecured and denominated in Renminbi. The majority of these borrowings have a tenor of one year, and bear a fixed interest rate of approximately 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CYI has credit facilities granted by banks in Singapore amounted to RMB 542.5 million (US$75.6 million), all of which remained undrawn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Details of CYI’s credit facilities granted by banks in Singapore are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10, 2025, we entered into an agreement with Sumitomo Mitsui Banking Corporation Singapore Branch for uncommitted revolving credit facilities with tenors of one, three or six months in US dollars and/or Singapore dollars, with an aggregate value not exceeding US$30.0 million. The facility may be used to finance the Company’s general working capital requirements. Among other things, it requires that Hong Leong Asia owns beneficially at least 7,290,000 of the issued and paid-up shares and retained ownership of the special share in the Company and that the Company remains a subsidiary of Hong Leong Asia. It also includes financial covenants requiring our consolidated tangible net worth (as defined in the agreement) as of June 30 and December 31 of each year not to be less than US$200 million and the ratio of our consolidated total net debt (as defined in the agreement) to consolidated tangible net worth as of June 30 and December 31 of each year not to exceed 2.0 times, as well as negative pledge provisions and customary drawdown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25, 2021, we entered into a revolving credit facility agreement with DBS Bank Ltd. of Singapore with an uncommitted aggregate value of S$30.0 million. This facility may be used to finance our general working capital requirements. Among other things, it requires that at all times (i) CYI owns directly or indirectly at least 76.4% ownership in Yuchai; (ii) Hong Leong Asia retains ownership of the special share, owns directly or indirectly at least 35% ownership in CYI and that CYI remains a subsidiary of Hong Leong Asia; and (iii) HLGE remains listed on the Main Board of Singapore Exchange. It also includes certain financial covenants requiring our consolidated tangible net worth (as defined in the agreement) not to be less than US$400 million, and the ratio of our consolidated total debt (as defined in the agreement) to consolidated tangible net worth not to exceed 1.0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18, 2023, we entered into an agreement with MUFG Bank Ltd, Singapore Branch for multi-currency short-term loan credit facilities with an uncommitted aggregate amount of S$30.0 million. The facility may be used to finance our general working capital requirements. Among other things, it requires that at all times (i) Hong Leong Asia maintains legal and beneficial ownership of at least 7,290,000 of the issued and paid-up shares and retains ownership of the special share in CYI; (ii) CYI remains a consolidated subsidiary of Hong Leong Asia; (iii) CYI owns directly or indirectly at least 76.4% ownership in Yuchai; and (iv) HLGE remains listed on the Main Board of Singapore Exchange. It also includes certain financial covenants requiring our tangible net worth (as defined in the agreement) not to be less than US$120 million at all times and the ratio of our total net debt (as defined in the agreement) to tangible net worth not to exceed 2.0 times at all times, as well as negative pledge provisions and customary drawdown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should there be a need for further loans from banks, we can borrow additional amounts through our established banking relationships with a number of domestic Chinese or Singapore banks. We can also obtain financing by issuing bonds, issuing bills payable, discounting bills receivable, factoring accounts receivable or through other financing activities. However, such activities are subject to market conditions and there is no assurance that such additional activities would be successful.</w:t>
      </w:r>
    </w:p>
    <w:p>
      <w:pPr>
        <w:pStyle w:val="TextBody"/>
        <w:bidi w:val="0"/>
        <w:spacing w:before="36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and 2025, outstanding bills receivable discounted with banks for which Yuchai had retained a recourse obligation amounted to RMB 1.0 billion and RMB 869.2 million (US$125.5 million), respectively. These bills receivables were received from customers in settlement for their purchases. Yuchai discounted these bills receivables to fund its operations, as and when required.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and 2025, outstanding bills receivable endorsed to suppliers for which Yuchai had retained a recourse obligation amounted to RMB 1.4 billion and RMB 2.8 billion (US$402.0 million), respectively. The bills receivables received from customers can be endorsed to suppliers as a form of settlement of Yuchai’s purchase for production materials.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Research and Development, Patents and Licenses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“Item 4. Information on the Company — B. Business Overview — Research and Development.”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Trend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than as disclosed elsewhere in this Annual Report, we are not aware of any trends, uncertainties, demands, commitments or events since December 31, 2025 that are reasonably likely to have a material and adverse effect on our revenues, income, profitability, liquidity or capital resources, or that would cause the disclosed financial information to be not necessarily indicative of future results of operations or financial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Critical Accounting Estimates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our consolidated financial statements requires our management to make judgments, estimates and assumptions that affect the reported amounts of revenues, expenses, assets and liabilities, the accompanying disclosures, and the disclosure of contingent liabilities. For more information, see the disclosure included in Note 3 to the accompanying consolidated financial statements in Item 18. </w:t>
      </w:r>
    </w:p>
    <w:p>
      <w:pPr>
        <w:pStyle w:val="TextBody"/>
        <w:bidi w:val="0"/>
        <w:spacing w:before="360" w:after="283"/>
        <w:jc w:val="both"/>
        <w:rPr>
          <w:rFonts w:ascii="Times New Roman" w:hAnsi="Times New Roman"/>
          <w:sz w:val="20"/>
        </w:rPr>
      </w:pPr>
      <w:bookmarkStart w:id="13" w:name="item_6"/>
      <w:bookmarkEnd w:id="13"/>
      <w:r>
        <w:rPr>
          <w:rFonts w:ascii="Times New Roman" w:hAnsi="Times New Roman"/>
          <w:b/>
          <w:color w:val="000000"/>
          <w:sz w:val="20"/>
        </w:rPr>
        <w:t>ITEM 6. DIRECTORS, SENIOR MANAGEMENT AND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Directors and Executive Officers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Bye-Laws require that our Board of Directors shall consist of eleven members so long as the special share is outstanding. As of February 27, 2026, there were nine members serving on our Board of Directors. Pursuant to the rights afforded to the holder of the special share, Hong Leong Asia had nominated Messrs. Gan Khai Choon, Kwek Leng Peck, Stephen Ho Kiam Kong, Hoh Weng Ming and Wong Hong Wai to the Board. Mr. Li Hanyang and Ms. Jiang Fei were nominated by Coomber Investments Limited. Our directors are appointed or elected, except in the case of casual vacancy, at the annual general meeting or at any special general meeting of shareholders and hold office until the next annual general meeting of shareholders or until their successors are appointed or their office is otherwise vacated.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directors and executive officers as of February 27, 2026 are identified below. </w:t>
      </w:r>
    </w:p>
    <w:tbl>
      <w:tblPr>
        <w:tblW w:w="7826" w:type="dxa"/>
        <w:jc w:val="left"/>
        <w:tblInd w:w="0" w:type="dxa"/>
        <w:tblLayout w:type="fixed"/>
        <w:tblCellMar>
          <w:top w:w="28" w:type="dxa"/>
          <w:left w:w="28" w:type="dxa"/>
          <w:bottom w:w="28" w:type="dxa"/>
          <w:right w:w="28" w:type="dxa"/>
        </w:tblCellMar>
      </w:tblPr>
      <w:tblGrid>
        <w:gridCol w:w="3961"/>
        <w:gridCol w:w="109"/>
        <w:gridCol w:w="1966"/>
        <w:gridCol w:w="109"/>
        <w:gridCol w:w="1681"/>
      </w:tblGrid>
      <w:tr>
        <w:trPr/>
        <w:tc>
          <w:tcPr>
            <w:tcW w:w="3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First Elected or</w:t>
              <w:br/>
              <w:t>Appointed Director</w:t>
              <w:br/>
              <w:t>or Officer</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HOH Weng Ming </w:t>
            </w:r>
            <w:r>
              <w:rPr>
                <w:rFonts w:ascii="Times New Roman" w:hAnsi="Times New Roman"/>
                <w:color w:val="000000"/>
                <w:sz w:val="13"/>
              </w:rPr>
              <w:t>(1)(4)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2011</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GAN Khai Choon </w:t>
            </w:r>
            <w:r>
              <w:rPr>
                <w:rFonts w:ascii="Times New Roman" w:hAnsi="Times New Roman"/>
                <w:color w:val="000000"/>
                <w:sz w:val="13"/>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1995</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KWEK Leng Peck </w:t>
            </w:r>
            <w:r>
              <w:rPr>
                <w:rFonts w:ascii="Times New Roman" w:hAnsi="Times New Roman"/>
                <w:color w:val="000000"/>
                <w:sz w:val="13"/>
              </w:rPr>
              <w:t>(1)(2)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1994</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HO Kiam Kong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LI Hanyang </w:t>
            </w:r>
            <w:r>
              <w:rPr>
                <w:rFonts w:ascii="Times New Roman" w:hAnsi="Times New Roman"/>
                <w:color w:val="000000"/>
                <w:sz w:val="13"/>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JIANG Fei </w:t>
            </w:r>
            <w:r>
              <w:rPr>
                <w:rFonts w:ascii="Times New Roman" w:hAnsi="Times New Roman"/>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NEO Poh Kiat </w:t>
            </w:r>
            <w:r>
              <w:rPr>
                <w:rFonts w:ascii="Times New Roman" w:hAnsi="Times New Roman"/>
                <w:color w:val="000000"/>
                <w:sz w:val="13"/>
              </w:rPr>
              <w:t>(1)(2)(3)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2005</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XIE Tao </w:t>
            </w:r>
            <w:r>
              <w:rPr>
                <w:rFonts w:ascii="Times New Roman" w:hAnsi="Times New Roman"/>
                <w:color w:val="000000"/>
                <w:sz w:val="13"/>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WONG Hong Wai </w:t>
            </w:r>
            <w:r>
              <w:rPr>
                <w:rFonts w:ascii="Times New Roman" w:hAnsi="Times New Roman"/>
                <w:color w:val="000000"/>
                <w:sz w:val="13"/>
              </w:rPr>
              <w:t>(3)</w:t>
            </w:r>
            <w:r>
              <w:rPr>
                <w:rFonts w:ascii="Times New Roman" w:hAnsi="Times New Roman"/>
                <w:color w:val="000000"/>
                <w:sz w:val="20"/>
              </w:rPr>
              <w:t xml:space="preserve">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LOO Choon Sen</w:t>
            </w:r>
            <w:r>
              <w:rPr>
                <w:rFonts w:ascii="Times New Roman" w:hAnsi="Times New Roman"/>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Conyers Corporate Services (Bermuda) Limited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Also a Director of Yuchai.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Member of the Compensation Committee.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Member of the Audit Committee.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 xml:space="preserve">Also a Director of HLGE. </w:t>
      </w:r>
    </w:p>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Hoh Weng Ming is the President and a Director of the Company, as well as a Director of Yuchai and HLGE. With over 40 years of professional experience across Singapore, Malaysia, New Zealand, Hong Kong and China, Mr. Hoh brings a wealth of regional expertise to his roles. He was previously the Financial Controller of the Company from 2002 to 2003, the Chief Financial Officer of the Company from 2008 to 2011 and the Chief Financial Officer of Hong Leong Asia from 2011 to 2013. Prior to that, he had worked in various roles with companies including Johnson Electric Industrial Manufactory Limited. Mr. Hoh has a Bachelor of Commerce Degree majoring in Accountancy from the University of Canterbury, Christchurch and a Master of Business Administration from Massey University (both in New Zealand). He is a Chartered Accountant in New Zealand and a Fellow Member of the Hong Kong Institute of Certified Public Accountants.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Dato’ Gan Khai Choon is a Director of the Company and Yuchai, as well as the Non-Executive Chairman of HLGE. He is also the Managing Director of Hong Leong International (Hong Kong) Limited and an Executive Director of Hong Leong Hotel Development Limited. Dato’ Gan has extensive experience in the banking, real estate investment and development sectors and has been involved in a number of international projects for the Hong Leong Investment group of companies, including the management and development of the Grand Hyatt Taipei and the Beijing Riviera. He holds a Bachelor of Arts Degree (Honors) in Economics from the University of Malaya. Dato’ Gan is related to Mr. Kwek Leng Peck.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Kwek Leng Peck is a Director of the Company and Yuchai. He also serves as the Executive Chairman of Hong Leong Asia and an Executive Director of Hong Leong Investment Holdings Pte. Ltd., Hong Leong Corporation Holdings Pte. Ltd and Hong Realty (Private) Limited. He also sits on the boards of HL Technology, Hong Leong China, Well Summit Investments Limited and Hong Leong Finance Limited, as well as other affiliated companies. Mr. Kwek has many years of experience in trading, manufacturing, property investment and development, hotel operations, corporate finance and management as well as extensive involvement in the real estate developments, investments and hotel operations of the Hong Leong Investment group of companies in Singapore. Mr. Kwek is related to Dato’ Gan Khai Choon.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Stephen Ho Kiam Kong is a Director of the Company. He also serves as the Executive Director and Chief Executive Officer of Hong Leong Asia, and sits on the boards of HL Technology, Hong Leong China and Well Summit and other affiliated companies. Mr. Ho has extensive experience in finance, treasury and risk management from his executive positions previously held at Wilmar International Limited and a Dutch multinational corporate, Royal Philips. Prior to his financial management roles, Mr. Ho worked for major international financial institutions in Singapore, Hong Kong and New York in the areas of corporate banking, global markets trading, marketing and sales. Mr. Ho holds a Bachelor of Commerce and Administration Degree from Victoria University of Wellington, New Zealand and had completed the Advanced Management Program at the Harvard Business School, Boston,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Li Hanyang is a Director of the Company and the Chairman of Yuchai’s Board. He is also the Chairman of GY (the second major shareholder of the Company). Mr. Li started his career with Yuchai as a production preparation section chief in 1993 and was gradually promoted to a deputy general manager of Yuchai in 2000. He was transferred to GY in 2002 and since then he has served in various managerial positions including chief engineer, director, chairman and party secretary of the GY Group. Mr. Li holds a Bachelor’s degree in Mechanical Design and Manufacturing from Tsinghua University and an MBA degree from Huazhong University of Science and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Ms. Jiang Fei was appointed as a Director of the Company and Yuchai on December 23, 2025 and November 27, 2025, respectively. She started her career at Yuchai and has accumulated over 23 years of experience across various positions, including marketing specialist and supervisor, assistant to the department head and the deputy department head of the Marketing and Sales Department, and director of the Executive Office. She currently serves as Chairman Assistant, overseeing multiple departments, including Legal &amp; Compliance and Branding &amp; Publicity. She is also the Secretary of the Party Committee of Yuchai and the Chairman of the Yuchai’s Labor Union. Ms. Jiang Fei holds an MBA degree in Business Administration from Sun Yat-sen University and a Bachelor of Management in Marketing Management from Zhongyuan University of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Neo Poh Kiat is an Independent Director of the Company and Yuchai. In January 2026, he was appointed as a Non-Executive Director of MGP. Mr. Neo has been an Independent Director of ValueMax Group Limited, a Singapore-listed company, since January 2022. Prior to this, Mr. Neo was an Independent Director of CapitaLand China Trust Management Limited from April 2017 to October 2025. Between August 1976 and January 2005, he held various senior managerial positions with companies in the DBS Bank group and United Overseas Bank Ltd. Mr. Neo holds a Bachelor of Commerce Degree (Honors) from Nanyang University, Singapore. Our Board of Directors has determined that Mr. Neo is independent within the meaning of the NYSE’s corporate governance standards, on the basis that the Company has no material relationship with him.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Xie Tao is an Independent Director of the Company and Yuchai. He also serves an Independent Director of Zhejiang Wanfeng Auto Wheel Co., Ltd. and a Non-Independent Non-Executive Director of Shanghai Vico Precision Mold &amp; Plastics Co., Ltd., a publicly listed company in China. Mr. Xie has more than 30 years of experience in corporate management and financial advisory, including mergers and acquisitions, corporate finance and transaction services. He has spent a majority of his career with PricewaterhouseCoopers (PwC) for nearly 23 years as a lead partner of the Advisory practice in PwC China and as the Senior Partner of Corporate Finance serving on the Executive Board of the China, Singapore and Hong Kong member firms of PwC. From 2012 and 2014, he served as a partner at Ernst &amp; Young and later Deloitte, leading transaction services and corporate finance business. Mr. Xie holds a Bachelor’s degree in Physics from Beijing University in China and was a member of the UK Chartered Association of Certified Accountants. Our Board of Directors has determined that Mr. Xie is independent within the meaning of the NYSE’s corporate governance standards, on the basis that the Company has no material relationship with him.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Wong Hong Wai joined the Company as a Director on March 1, 2023 and was subsequently re-designated as an Independent Director on April 21, 2023. Presently, Mr. Wong serves as an Innovation Advisor with IPI, a subsidiary of Enterprise Singapore, and an Associate Faculty with the Singapore Institute of Technology. Prior to this, he was with the Singapore Economic Development Board and General Motors, where he had worked in six countries over a span of more than 35 years. He has extensive experience in industry development, mergers and acquisition, new business development, strategic alliance management, sales and marketing, strategic risk management, business strategy, product portfolio planning, global procurement, and business process re-engineering. Mr. Wong is a Senior Accredited Board Director of the Singapore Institute of Directors and a Fellow of the Singapore Institute of Arbitrators. He holds a Bachelor of Engineering (Production and Industrial Engineering) degree from the Ulm University of Applied Sciences in Germany and a Master of Business Administration from the National University of Singapore. He has also completed an Executive Program at the Stephen M. Ross School of Business at the University of Michigan, U.S. Our Board of Directors has determined that Mr. Wong is independent within the meaning of the NYSE’s corporate governance standards, on the basis that the Company has no material relationship with him.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Loo Choon Sen joined the Company as the Chief Financial Officer in June 2021 and was appointed as a Director of Yuchai in November 2021. Mr. Loo has over 20 years of financial leadership experience. He started his career as an external auditor with Baker Tilly and moved on as the Financial Controller for a subsidiary of a company listed on the Kuala Lumpur Stock Exchange, based out of Papua New Guinea. He joined Cameron International Corporation, a US multinational company listed on the NYSE, where he held various positions since 2001, including as Director of Financial Services for Asia Pacific &amp; Middle East based out of Singapore and Director of Finance for Canada, based out of Edmonton, Canada. After Schlumberger Limited (SLB), a US multinational company listed on the NYSE, acquired Cameron International Corporation in 2016, he became the Director of Finance for SLB’s Cameron Product Lines for Asia Pacific &amp; Middle East spanning 15 countries in the region. Prior to his current role, he was the Head of Finance with TechnipFMC, a US multinational company listed on NYSE covering the Asia Pacific region. Mr. Loo holds a Bachelor of Commerce degree in Finance and Accounting from Curtin University of Technology and is a Certified Practising Accountant in Australia.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Conyers Corporate Services (Bermuda) Limited, previously known as Codan Services Limited was appointed as the Secretary of the Company on January 28, 2015.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directors is appointed or elected, except in the case of casual vacancy, at our annual general meeting or at any special general meeting of shareholders and holds office until the next annual general meeting of shareholders or until his or her successor is appointed or his or her office is otherwise vacated.</w:t>
      </w:r>
    </w:p>
    <w:p>
      <w:pPr>
        <w:pStyle w:val="TextBody"/>
        <w:bidi w:val="0"/>
        <w:spacing w:before="360" w:after="283"/>
        <w:jc w:val="both"/>
        <w:rPr>
          <w:rFonts w:ascii="Times New Roman" w:hAnsi="Times New Roman"/>
          <w:sz w:val="20"/>
        </w:rPr>
      </w:pPr>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Audit Committee consists of three independent non-executive directors, namely Messrs. Xie Tao (Chairman), Neo Poh Kiat and Wong Hong Wai. The Audit Committee oversees the performance of our internal audit function and our independent registered public accountants. It also reviews our quarterly financial statements and effectiveness of our financial reporting process and material internal controls including financial, operational and compliance controls. The Board has designated Mr. Xie Tao as our Audit Committee Financial Expert. </w:t>
      </w:r>
    </w:p>
    <w:p>
      <w:pPr>
        <w:pStyle w:val="TextBody"/>
        <w:bidi w:val="0"/>
        <w:spacing w:before="360" w:after="283"/>
        <w:jc w:val="both"/>
        <w:rPr>
          <w:rFonts w:ascii="Times New Roman" w:hAnsi="Times New Roman"/>
          <w:sz w:val="20"/>
        </w:rPr>
      </w:pPr>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members of the Compensation Committee are Messrs. Kwek Leng Peck (Chairman), Neo Poh Kiat and Xie Tao. The Compensation Committee reviews our general compensation structure as well as reviews, recommends or approves executive appointments and remuneration, subject to ratification by our Board of Directors and supervises the administration of our employee benefit plans, including our 2025 Equity Incentive Plan (as defined herein).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Directors and Executive Officers of Yuchai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According to Yuchai’s Articles of Association, the Board of Directors of Yuchai shall consist of 13 members. As of February 27, 2026, there were 13 members elected to and serving on Yuchai’s Board of Directors. Yuchai’s Articles of Association entitle us (as the indirect holder of the Foreign Shares), through our six wholly-owned subsidiaries, to designate nine Directors and entitle the Chinese shareholders to designate four Directors. These nomination rights were acknowledged and confirmed by Yuchai as part of the terms of the Reorganization Agreement. Pursuant to the terms of the Reorganization Agreement, Yuchai’s Board of Directors has been reconstituted with the Company entitled to elect nine of Yuchai’s 13 directors, again reaffirming the Company’s right to effect all major decisions relating to Yuchai. Pursuant to and subject to the conditions in the Shareholders Agreement described under “Item 7. Major Shareholders and Related Party Transactions — B. Related Party Transactions,” and by virtue of the special share, Hong Leong Asia is entitled to designate five of the nine Yuchai Directors designated by us. Pursuant to the Shareholders Agreement and our Bye-Laws, the Yuchai Directors designated by us will vote as a block in accordance with the vote of the majority of such Directors. As part of the terms of the Reorganization Agreement, Yuchai affirmed our continued rights, as Yuchai’s majority shareholder, to direct the management and policies of Yuchai through Yuchai’s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directors and executive officers as of February 27, 2026 are identified below. </w:t>
      </w:r>
    </w:p>
    <w:p>
      <w:pPr>
        <w:pStyle w:val="TextBody"/>
        <w:bidi w:val="0"/>
        <w:jc w:val="both"/>
        <w:rPr/>
      </w:pPr>
      <w:r>
        <w:rPr/>
        <w:t> </w:t>
      </w:r>
    </w:p>
    <w:tbl>
      <w:tblPr>
        <w:tblW w:w="7330" w:type="dxa"/>
        <w:jc w:val="left"/>
        <w:tblInd w:w="0" w:type="dxa"/>
        <w:tblLayout w:type="fixed"/>
        <w:tblCellMar>
          <w:top w:w="28" w:type="dxa"/>
          <w:left w:w="28" w:type="dxa"/>
          <w:bottom w:w="28" w:type="dxa"/>
          <w:right w:w="28" w:type="dxa"/>
        </w:tblCellMar>
      </w:tblPr>
      <w:tblGrid>
        <w:gridCol w:w="1966"/>
        <w:gridCol w:w="146"/>
        <w:gridCol w:w="3391"/>
        <w:gridCol w:w="146"/>
        <w:gridCol w:w="168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 in Yuchai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First Elected or</w:t>
              <w:br/>
              <w:t>Appointed Director</w:t>
              <w:br/>
              <w:t>or Officer</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LI Hanyang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HOH Weng Ming </w:t>
            </w:r>
            <w:r>
              <w:rPr>
                <w:rFonts w:ascii="Times New Roman" w:hAnsi="Times New Roman"/>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2008</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KWEK Leng Peck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2005</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GAN Khai Choon </w:t>
            </w:r>
            <w:r>
              <w:rPr>
                <w:rFonts w:ascii="Times New Roman" w:hAnsi="Times New Roman"/>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2007</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NEO Poh Kiat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Independent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2008</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XIE Tao </w:t>
            </w:r>
            <w:r>
              <w:rPr>
                <w:rFonts w:ascii="Times New Roman" w:hAnsi="Times New Roman"/>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Independent 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2019</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JIANG Fei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CHEN Hai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General Manager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2026/2025</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SHEN Guang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Director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 Kaiguo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Independent 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LOO Choon 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ANG Tiong 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ZHONG Yuwei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Deputy General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2024/2021</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 Minghong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Accountant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WANG Limin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General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2015</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TAN Guirong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General Manager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2015</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LIANG Heping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General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CAI Xiaohong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General Manager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2017</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YAO Huaxiong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General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2018</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CHEN Long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Deputy General Manager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LAI Tak Chuen Kelvin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Business Controller seconded to Yuchai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2011</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TAY Hui Boon Kelly </w:t>
            </w:r>
            <w:r>
              <w:rPr>
                <w:rFonts w:ascii="Times New Roman" w:hAnsi="Times New Roman"/>
                <w:color w:val="000000"/>
                <w:sz w:val="12"/>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Controller seconded to Yuchai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2008</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Also a Director of the Company.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Secondee of the Company, whose salaries and expenses are paid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information about Messrs. Li Hanyang, Hoh Weng Ming, Kwek Leng Peck, Gan Khai Choon, Neo Poh Kiat, Xie Tao, Loo Choon Sen and Ms. Jiang Fei, see “Item 6. Directors, Senior Management and Employees — A. Directors and Executive Officers of the Company.”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Mr. Chen Hai was appointed as the General Manager (formerly titled “President”) and a Director of Yuchai in November 2025 and February 2026, respectively. He previously served as a Deputy General Manager and Senior Quality Controller of Yuchai from 2021. He holds a Bachelor’s degree from Wuhan University of Technology and a Master’s degree of Engineering from Hunan University.</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Mr. Shen Guang was appointed as a Director of Yuchai in May 2023. He is also a Director and General Manager of GY. He joined Yuchai in 1994 and had accumulated extensive technical and managerial experience in the foundry, production department, Xiamen Yuchai, and corporate management department. In 2014, he was transferred to GY and served as Assistant to the President and Deputy General Manager, and was promoted to the General Manager of GY in 2022. He holds a Master of Engineering degree from Henan University of Science and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Mr. Li Kaiguo was appointed as a Director of Yuchai in August 2023. He is also currently serving as an Independent Director for Sailes Group Co., Ltd., Hunan Times Electric Co., Ltd., and Qingling Car (Group) Co., Ltd., as well as a Director for Chongqing Yufu Assets Management Group. Mr. Li possesses extensive expertise in automotive engineering. He became the Head of the General Group Inspection Technology Expert Committee at China Automotive Engineering Research Institute Co., Ltd. after he served the company from 2013 to 2022 as general manager, director and Chairman. Mr. Li holds a Bachelor’s degree in Automotive Engineering from Hunan University.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Mr. Ang Tiong Ing was appointed as a Director of Yuchai in February 2024. He is currently the Senior Vice President, Operations of the Company. Mr. Ang has more than 30 years of experience and deep expertise across the engineering industry. Prior to joining the Company, he held various positions where he led business activities related to manufacturing, environmental health and safety, engineering design and development, business development, mergers and acquisitions, and corporate planning, with overall responsibility to meet the corporate growth strategies as General Manager, Vice President and Senior Vice President within the publicly listed ST Engineering Group of Companies in Singapore, focusing on providing solutions for aerospace, defense, engineering and smart cities.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Zhong Yuwei was appointed as a Director of Yuchai in January 2024. He has been serving as a Deputy General Manager of Yuchai since May 2021. He is also the Chairman of Yuchai Simlan Technology Co., Ltd., an 87.7% owned subsidiary of Yuchai. He holds a Bachelor’s degree in Internal Combustion Engineering from Tsinghua University.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Ms. Su Minghong was appointed as the Chief Accountant of Yuchai in August 2025. She joined Yuchai in 2006. She previously served as the Head of Finance Department of Yuchai since May 2022 after working as a Deputy Head of Finance Department from December 2018. She holds a Master’s degree in Business Administration from Sun Yat-sen University.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Dr. Wang Limin has been serving as a Deputy General Manager of Yuchai since 2015. He holds a Bachelor’s degree in Vehicle Engineering from Hubei Automotive Industrial College and a PhD in Advanced Manufacturing from Tianjin University.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Tan Guirong has been serving as a Deputy General Manager since 2015. He holds a Master’s degree in Business Administration from Huazhong University of Science and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Liang Heping has been serving as a Deputy General Manager of Yuchai since May 2021. He has been serving as General Manager in Y&amp;C since January 2010. Mr. Liang holds a Bachelor’s degree in Thermal Power Machinery from Tongji University and a Master’s degree in Business Administration from Tsinghua University.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Cai Xiaohong has been serving as a Deputy General Manager of Yuchai since December 2017 after serving as Senior Quality Controller from October 2016. He holds a Diploma in Engineering Machinery in Guangxi Hydropower College.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Yao Huaxiong has been serving as a Deputy General Manager of Yuchai since June 2018. Before assuming this role, he was the Head of Technology of Yuchai from December 2016 to November 2018. Mr. Yao holds a Bachelor’s degree in Engineering from Jilin University in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Chen Long was appointed a Deputy General Manager of Yuchai in November 2024 after serving as Assistant General Manager of Yuchai from September 2019. He holds a Bachelor’s degree in Economics from Tsinghua University and a Master’s degree in Business Administration from Guangxi University.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Mr. Lai Tak Chuen Kelvin is the Chief Business Controller of Yuchai seconded from the Company. He assumed the role of Vice President of Operations of the Company in June 2010 and currently serves as the General Manager of Operations of the Company. He has been serving as the Chief Business Controller of Yuchai since March 2011. Mr. Lai’s extensive career spans over 14 years at Rolls-Royce International Ltd, where he held various positions in power generation and industrial power businesses across the Greater China Region, including Taiwan. Prior to this, he spent a decade as a marine engineer in a shipping company before transitioning to Cummins Hong Kong Ltd, where he served as General Manager, overseeing diesel engine distribution and aftermarket operations in Southern China and Hong Kong. Mr. Lai holds a Bachelor’s degree in Business Administration in Management from the Hong Kong Metropolitan University and a Postgraduate Certificate in Engineering Business Management from the University of Warwick, U.K.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Ms. Tay Hui Boon Kelly is the Financial Controller of Yuchai seconded from the Company. She has been assigned by us to assist Yuchai in its financial accounting, reporting and compliance with local and statutory requirements, and the implementation of financial policies, procedures, financial budgeting and review of investments. Ms. Tay holds a Bachelor’s degree in Accounting and Financial and Information Management from the University of Sheffield, U.K. She has over fifteen years’ experience in management costing and accounting and gained substantial experience from working in various parts of China.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Yuchai’s Articles of Association, which were amended on August 16, 2007 and approved by the Guangxi Department of Commerce on December 2, 2009, Yuchai’s shareholders have authority, by way of a meeting, over all matters of importance relating to Yuchai, including (i) making decisions in relation to the business plan; (ii) the review and approval of reports submitted by the Board of Directors of Yuchai; (iii) the approval of Yuchai’s plans for distribution of profits and recovery of losses; (iv) the approval of Yuchai’s annual capital, operating budget and year-end financial statements of final accounts, balance sheet, profit and loss statements and other accounting statements; (v) making decisions of the issuance of new shares or other securities, the expansion of the scope of any subscription of shares, the approval of the transfer procedures for Yuchai’s share certificates, and the public offering and listing of Yuchai shares within and outside China; (vi) the nomination, election, dismissal and compensation of members of the Board of Directors; (vii) significant sales or purchases of assets, or any division, merger, acquisition, termination, liquidation or other major corporate action of Yuchai; (viii) making amendments to Yuchai’s Articles of Association; (ix) the election and replacement of supervisors nominated by and represented by the shareholders in Yuchai’s Board of Supervisors; (x) making decisions of compensation of Yuchai’s Board of Supervisors; (xi) motions presented by shareholders holding 3% or more of the outstanding shares of Yuchai; (xi) the review and approval of reports submitted by Yuchai’s Board of Supervisors; (xiii) to increase or decrease the registered capital of Yuchai; (xiv) approval of all relevant matters submitted by the Board concerning the provision of guarantees by Yuchai; (xv) approval of all relevant matters submitted by the Board concerning the proposed loans or borrowings to Yuchai, and proposed loans to be provided by Yuchai; and (xvi) other matters required to be resolved by the shareholders’ meeting. Yuchai’s shareholders are entitled to preemptive rights to subscribe pro rata in accordance with their ownership percentage for any new Yuchai shares or other equity interests offered by Yuchai at a price and on terms at least equivalent to those offered to new subscribers.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Board of Directors reports directly to the shareholders of Yuchai and is the principal executive authority responsible for major decisions relating to Yuchai, mainly including (i) the execution of resolutions adopted by the shareholders; (ii) making decisions on Yuchai’s business plans and investment programs; (iii) the preparation of Yuchai’s annual financial budget, final accounts, dividend distribution plan, and plan of recovery of loss; (iv) the preparation and submission to the shareholders’ meeting for approval of the plans to increase or decrease Yuchai’s registered capital, plans for issuances of Yuchai securities and plans for merger, division, change of corporate form or dissolution; (v) to fill vacancies on the Board provided the selected replacement is nominated by and represents the same shareholders as his or her predecessor; (vi) adoption of various corporate policies and rules; (vii) decision of internal management organization; (viii) the appointment of senior executive officers as recommended by the Yuchai’s Nominations Sub-committee of Board and their dismissals as well as the appointment of senior advisers to the Board; (ix) the establishment of a financial committee; (x) approval of sales, purchases, transfers and leases of material assets with a value in excess of US$3 million but less than US$6 million and which are not contemplated in Yuchai’s approved budgets; (xi) approval of guarantees provided by Yuchai with a value in excess of US$3 million but less than US$6 million; (xii) review of all relevant matters relating to proposed loans or borrowings to Yuchai, and proposed loans to be provided by Yuchai which will be further submitted to Yuchai’s shareholders for approval by way of a meeting; (xiii) to prepare and submit to the shareholders’ meeting for adoption of the amendments of the Articles of Association; (xiv) to recommend the shareholders’ meeting for approval of the appointment or dismissal of the accounting firms for Yuchai’s audit matters; and (xv) any other matters that may be determined by the Board of Directors in accordance with Yuchai’s Articles of Association. </w:t>
      </w:r>
    </w:p>
    <w:p>
      <w:pPr>
        <w:pStyle w:val="TextBody"/>
        <w:bidi w:val="0"/>
        <w:spacing w:before="240" w:after="283"/>
        <w:jc w:val="both"/>
        <w:rPr>
          <w:rFonts w:ascii="Times New Roman" w:hAnsi="Times New Roman"/>
          <w:sz w:val="20"/>
        </w:rPr>
      </w:pPr>
      <w:r>
        <w:rPr>
          <w:rFonts w:ascii="Times New Roman" w:hAnsi="Times New Roman"/>
          <w:color w:val="000000"/>
          <w:sz w:val="20"/>
        </w:rPr>
        <w:t>In order to further strengthen our level of corporate governance, we have continued to seek to cause Yuchai to adopt comprehensive corporate governance guidelines to put procedures in place to improve the management and governance of Yuchai. The 2007 version of corporate governance guidelines of Yuchai were approved and adopted by Yuchai’s Board of Directors and shareholders’ meeting on July 27, 2007 and August 16, 2007, respectively. The corporate governance guidelines and practices adopted by Yuchai continue to be fine-tuned on an ongoing basis such that Yuchai follows international best practices and which are in line with the Company Law in the PRC. Various board committees (</w:t>
      </w:r>
      <w:r>
        <w:rPr>
          <w:rFonts w:ascii="Times New Roman" w:hAnsi="Times New Roman"/>
          <w:i/>
          <w:color w:val="000000"/>
          <w:sz w:val="20"/>
        </w:rPr>
        <w:t>inter alia</w:t>
      </w:r>
      <w:r>
        <w:rPr>
          <w:rFonts w:ascii="Times New Roman" w:hAnsi="Times New Roman"/>
          <w:color w:val="000000"/>
          <w:sz w:val="20"/>
        </w:rPr>
        <w:t xml:space="preserve">, an Audit Sub-Committee, a Remunerations Sub-Committee, a Nominations Sub-Committee and a Financial Sub-Committee) have been established and are currently functioning in accordance with their charters. The Financial Sub-Committee is responsible for reviewing the necessity and feasibility of new projects and making recommendations to Yuchai’s Board of Directors. Yuchai and the Company are audited by the same firm of independent auditors.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of Yuchai shall consist of 13 directors appointed for three-year terms pursuant to Yuchai’s current Articles of Association. A total of nine directors shall be elected from nominees of holders of Foreign Shares (including at least two independent directors) and a total of four directors shall be elected from nominees of holders of GY Group Shares and Legal Person Shares. Actions generally may be taken by a majority vote of all directors of Yuchai’s Board, apart from the following major matters which shall be passed by a two-thirds vote of all directors of Yuchai’s Board, i.e., (i) the plans to increase or decrease Yuchai’s registered capital, plans for issuances of bonds; (ii) plans for merger, division, change of corporate form or dissolution; (iii) the amendments of the Articles of Association; (iv) the election of Chairman of Yuchai’s Board. Attendance of at least seven directors (four representing holders of Foreign Shares and three representing holders of GY Group Shares or Legal Person Shares) constitutes a quorum for the Board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entitled under Yuchai’s Articles of Association to elect nine of Yuchai’s 13 directors, thereby entitling us to effect all major decisions relating to Yuchai. As part of the terms of the Reorganization Agreement and the Cooperation Agreement, Yuchai affirmed our continued rights, as Yuchai’s majority shareholder, to direct the management and policies of Yuchai through Yuchai’s Board of Directors. A two-thirds vote of the outstanding shares at a shareholders’ meeting at which a quorum is present is required for major corporate actions, including (i) the issuance of new shares or other securities, the expansion of the scope of any subscription of shares, the transfer procedures for Yuchai’s share certificates, and the public offering and listing of Yuchai shares within and outside China; (ii) significant sales or purchases of assets, or any division, merger, acquisition, termination, liquidation or other major corporate action of Yuchai; (iii) amendment to Yuchai’s Articles of Association; (iv) to increase or decrease the registered capital of Yuchai. Attendance of shareholders representing at least two-thirds of the outstanding Yuchai shares constitutes a quorum for shareholder meetings considering such major corporate 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However, although our nominees constitute a majority of the Board of Directors of Yuchai, there have, on various occasions in the past, been periods of time when no board meetings have been held, despite Yuchai’s Articles of Association at the time requiring the Board of Directors to meet at least once every six months as well as upon repeated requests by us. Prior to the execution of the Reorganization Agreement, Yuchai’s Articles of Association provided that a quorum for a board meeting was at least five Directors, three representing holders of Foreign Shares and two representing holders of GY Group Shares or Legal Person Shares. However, subsequent to the execution of the Reorganization Agreement, these quorum requirements have been amended in Yuchai’s new Articles of Association as approved by the Guangxi Department of Commerce on December 2, 2009. Under the new Articles of Association, a quorum for a board meeting shall be at least seven directors, four representing holders of Foreign Shares and three representing holders of GY Group Shares or Legal Person Shares. If the quorum cannot be met for two consecutive times, then any seven directors present shall constitute the quorum for the third meeting. In addition, under Yuchai’s new Articles of Association, board meetings are to be convened at least three times a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management consists of a Chairman, a General Manager (formerly titled “President”), several Deputy General Managers (formerly titled “Vice President”), and other senior officers designated by its Board of Directors, as well as senior managers and officers designated by us. Yuchai’s management handles daily operations and implements the corporate policies under the direction and guidance of its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general matter, we require access to certain financial books and records of Yuchai so as to be able to monitor our investments in Yuchai and to prepare our consolidated financial statements. In early 2004, Yuchai temporarily denied us such access. In response, we initiated dialogue with representatives of Yuchai and shortly thereafter agreed with Yuchai to resume allowing us access to the financial books and records of Yuchai. Moreover, we require the cooperation of Yuchai and its Chinese shareholders and have from time to time experienced certain problems in obtaining such cooperation. In response to such problems, we entered into dialogue with representatives of Yuchai and its Chinese shareholders and thereafter executed the Reorganization Agreement, which we believe addresses these problems. As part of the terms of the Reorganization Agreement, Yuchai agreed that it would seek the requisite shareholder approval prior to entering into any material transactions (including any agreements or arrangements with parties related to Yuchai or any of its shareholders) and that it would comply with its governance requirements. However, no assurances can be given regarding implementation of the terms of the Reorganization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certain management, financial planning, internal audit services, internal control testing, IFRS Accounting Standards training, business enhancement consulting and other services to Yuchai and we have a team working full-time at Yuchai’s principal manufacturing facilities in Yulin city. In addition, the President, Chief Financial Officer, Senior Vice President of Operations and a manager proficient in Section 404 of Sarbanes-Oxley Act of 2002, or SOX, travel frequently for as much as up to two weeks at a time, to Yuchai to actively participate in Yuchai’s operations and decision-making process. See also “Item 3. Key Information — D. Risk Factors — Risks Related to Corporate Structure — Our financial condition, results of operations, business and prospects may be adversely affected if we are unable to implement the Reorganization Agreement and the Cooperation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Compensation </w:t>
      </w:r>
    </w:p>
    <w:p>
      <w:pPr>
        <w:pStyle w:val="TextBody"/>
        <w:bidi w:val="0"/>
        <w:spacing w:before="120" w:after="283"/>
        <w:jc w:val="both"/>
        <w:rPr>
          <w:rFonts w:ascii="Times New Roman" w:hAnsi="Times New Roman"/>
          <w:sz w:val="20"/>
        </w:rPr>
      </w:pPr>
      <w:r>
        <w:rPr>
          <w:rFonts w:ascii="Times New Roman" w:hAnsi="Times New Roman"/>
          <w:b/>
          <w:color w:val="000000"/>
          <w:sz w:val="20"/>
        </w:rPr>
        <w:t>Service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Amended and Restated Shareholders Agreement of the Company dated November 9, 1994, Hong Leong Asia is entitled to receive no less than US$500,000 from either Yuchai or the Company for management services as long as Hong Leong Asia remains the controlling shareholder, and provided that the services include those of the President and Chief Financial Officer. With effect from January 2008, further to agreements entered into between the Company and Yuchai, Yuchai pays the Company, instead of Hong Leong Asia, consultancy and management services fee of US$1,000,000 per annum. Hong Leong Asia has agreed to waive its right to be paid any fees as set out in the Amended and Restated Shareholders Agreement of November 9, 1994. In 2011, this arrangement was restructured into a separate management services agreement and consulting services agreement, with the total quantum of annual fee remaining the same at US$1,000,000. See “Item 7. Major Shareholders and Related Party Transactions — B. Related Party Transactions — Shareholders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and Yuchai entered into supplemental agreements in 2020, 2021 and 2023, respectively, pursuant to which Yuchai paid an additional management fee of RMB 3 million to the Company for each of the fiscal years 2020, 2021 and 2022 in respect of additional management services provided by the Company and the associated higher human resource costs. In light of the GYMCL Group and the continued increase in costs, the Company and Yuchai subsequently entered into further supplemental agreement in September 2023, June 2025 and November 2025, respectively, pursuant to which Yuchai agreed to pay the Company an additional management fee of RMB 6 million for each of the fiscal years 2023, 2024 and 2025. </w:t>
      </w:r>
    </w:p>
    <w:p>
      <w:pPr>
        <w:pStyle w:val="TextBody"/>
        <w:bidi w:val="0"/>
        <w:spacing w:before="360" w:after="283"/>
        <w:jc w:val="both"/>
        <w:rPr>
          <w:rFonts w:ascii="Times New Roman" w:hAnsi="Times New Roman"/>
          <w:sz w:val="20"/>
        </w:rPr>
      </w:pPr>
      <w:r>
        <w:rPr>
          <w:rFonts w:ascii="Times New Roman" w:hAnsi="Times New Roman"/>
          <w:b/>
          <w:color w:val="000000"/>
          <w:sz w:val="20"/>
        </w:rPr>
        <w:t>Remuneration and Pensions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total fees paid to the Directors (other than Directors appointed to an executive office) for performing their services as Directors must not exceed US$250,000 each year or such lesser amount as our Board of Directors may determine. The Directors may decide such sum to be divided among them, except that any Director holding office for part of a year shall, unless otherwise agreed, be entitled to any proportionate part of the remuneration. Our shareholders may by ordinary resolution increase the amount of the fees payable to the Directors. Our shareholders approved the increase in the limit of the Directors’ fee from US$250,000 to US$540,000 for the fiscal year 2022 at our annual general meeting held on August 7, 2023 and from US$250,000 to US$552,384 for the fiscal year 2023 at our annual general meeting held on August 7, 2024. At our annual general meeting held on July 8, 2025, our shareholders approved the increase in the limit of the Directors’ fee from US$250,000 to US$700,000 for the fiscal year 2024. For the fiscal year 2025, and subject to shareholders’ approval at the annual general meeting, we will pay an annual director fee of US$70,000 to each Director (pro-rated accordingly if a director resigns, retires or assumes the position during the year) other than whom is also the President of the Company, and an annual service fee of US$60,000 and US$40,000 to the Chairman and each of the members of the Audit Committee,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of Directors may grant special remuneration to any Director who, being called upon, shall render any special or extra services to or at the request of the Company. Such special remuneration may be paid to such Director in addition to or in substitution for his ordinary remuneration as a Director and may be payable by way of a lump sum, participation in profits or as otherwise determined by our Board of Directors. For the fiscal year 2025, our Board of Directors approved a special remuneration of US$70,000 to be paid to one of our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Save for legally mandated contributions on behalf of our employees, our Board of Directors does not provide pensions or other benefits to any Director, officer or former Director or officer, or any of their family members or dependents. </w:t>
      </w:r>
    </w:p>
    <w:p>
      <w:pPr>
        <w:pStyle w:val="TextBody"/>
        <w:bidi w:val="0"/>
        <w:spacing w:before="360" w:after="283"/>
        <w:jc w:val="both"/>
        <w:rPr>
          <w:rFonts w:ascii="Times New Roman" w:hAnsi="Times New Roman"/>
          <w:sz w:val="20"/>
        </w:rPr>
      </w:pPr>
      <w:r>
        <w:rPr>
          <w:rFonts w:ascii="Times New Roman" w:hAnsi="Times New Roman"/>
          <w:b/>
          <w:color w:val="000000"/>
          <w:sz w:val="20"/>
        </w:rPr>
        <w:t>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aggregate amount of compensation paid to all directors and executive officers of the Company and Yuchai during 2025 was approximately RMB 103.9 million (US$15.2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no benefits to be provided to the directors of the Company or Yuchai upon their termination of employment. For more details, see also “Item 6. Directors, Senior Management and Employees — B. Compensation — Remuneration and Pensions.”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Board Practices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Please see “Item 6. Directors, Senior Management and Employees – A. Directors and Executive Officers of the Company” for more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2023, 2024 and 2025, we had 8,177, 8,930 and 9,189 employees, respectively. Set out below is the breakdown of the number of our employees by geographical location of work: </w:t>
      </w:r>
    </w:p>
    <w:p>
      <w:pPr>
        <w:pStyle w:val="TextBody"/>
        <w:bidi w:val="0"/>
        <w:jc w:val="both"/>
        <w:rPr/>
      </w:pPr>
      <w:r>
        <w:rPr/>
        <w:t> </w:t>
      </w:r>
    </w:p>
    <w:tbl>
      <w:tblPr>
        <w:tblW w:w="5620" w:type="dxa"/>
        <w:jc w:val="left"/>
        <w:tblInd w:w="0" w:type="dxa"/>
        <w:tblLayout w:type="fixed"/>
        <w:tblCellMar>
          <w:top w:w="28" w:type="dxa"/>
          <w:left w:w="28" w:type="dxa"/>
          <w:bottom w:w="28" w:type="dxa"/>
          <w:right w:w="28" w:type="dxa"/>
        </w:tblCellMar>
      </w:tblPr>
      <w:tblGrid>
        <w:gridCol w:w="1531"/>
        <w:gridCol w:w="146"/>
        <w:gridCol w:w="265"/>
        <w:gridCol w:w="576"/>
        <w:gridCol w:w="146"/>
        <w:gridCol w:w="146"/>
        <w:gridCol w:w="146"/>
        <w:gridCol w:w="571"/>
        <w:gridCol w:w="146"/>
        <w:gridCol w:w="146"/>
        <w:gridCol w:w="154"/>
        <w:gridCol w:w="447"/>
        <w:gridCol w:w="146"/>
        <w:gridCol w:w="146"/>
        <w:gridCol w:w="146"/>
        <w:gridCol w:w="57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Singapore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employees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Yuchai provides its employees with a fixed base salary and performance-based bonus, and participates in defined contribution plans as legally mandated under applicable Chinese laws. See Note 8.4 to the accompanying consolidated financial statements in Item 18 for more details. Yuchai also provides its employees meal subsidies and medical insurance, and certain employees receive additional housing subsidies. For the fiscal year 2025, the total annual salary and bonus, contribution to defined contribution plans and other benefits to Yuchai’s employees were RMB 2.2 billion (US$321.5 million). Yuchai, on a periodic basis, enters into a collective agreement with the union which represents all of its employees. Under the agreement, Yuchai and the union maintain a cooperative framework designed to support Yuchai’s operations. Yuchai supports the union’s activities by providing necessary resources and funding. Yuchai has not experienced any material work stoppages and considers employee relations to be good.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Share Ownership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directors and executive officers of the Company do not currently own any shares of common stock, but certain directors, officers and employees of the Company have been awarded share options under our 2025 Equity Incentive Plan (as defined herein). </w:t>
      </w:r>
    </w:p>
    <w:p>
      <w:pPr>
        <w:pStyle w:val="TextBody"/>
        <w:bidi w:val="0"/>
        <w:spacing w:before="360" w:after="283"/>
        <w:jc w:val="both"/>
        <w:rPr>
          <w:rFonts w:ascii="Times New Roman" w:hAnsi="Times New Roman"/>
          <w:sz w:val="20"/>
        </w:rPr>
      </w:pPr>
      <w:r>
        <w:rPr>
          <w:rFonts w:ascii="Times New Roman" w:hAnsi="Times New Roman"/>
          <w:b/>
          <w:i/>
          <w:color w:val="000000"/>
          <w:sz w:val="20"/>
        </w:rPr>
        <w:t>China Yuchai International Limited 2014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China Yuchai International Limited 2014 Equity Incentive Plan (the “2014 Equity Incentive Plan”) was approved and adopted by the Board of Directors of the Company on May 10, 2014 and approved by the Company’s shareholders on July 4, 2014. The 2014 Equity Incentive Plan expired in May 2024 after its ten (10) years duration. </w:t>
      </w:r>
    </w:p>
    <w:p>
      <w:pPr>
        <w:pStyle w:val="TextBody"/>
        <w:bidi w:val="0"/>
        <w:spacing w:before="360" w:after="283"/>
        <w:jc w:val="both"/>
        <w:rPr>
          <w:rFonts w:ascii="Times New Roman" w:hAnsi="Times New Roman"/>
          <w:sz w:val="20"/>
        </w:rPr>
      </w:pPr>
      <w:r>
        <w:rPr>
          <w:rFonts w:ascii="Times New Roman" w:hAnsi="Times New Roman"/>
          <w:b/>
          <w:i/>
          <w:color w:val="000000"/>
          <w:sz w:val="20"/>
        </w:rPr>
        <w:t>China Yuchai International Limited 2025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China Yuchai International Limited 2025 Equity Incentive Plan (the “2025 Equity Incentive Plan”) was approved and adopted by the Board of Directors of the Company on May 16, 2025 and approved by the Company's shareholders on July 8, 2025. The 2025 Equity Incentive Plan takes effect on May 16,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purpose of the 2025 Equity Incentive Plan is to provide eligible directors and employees of the Group with an opportunity to participate in the equity of the Company through the grant of Awards (as defined in the 2025 Equity Incentive Plan, including share options, restricted stock and stock payments), so as to motivate greater dedication and loyalty and to reward, retain and incentivize employees who are in positions of substantial responsibility and whose contributions are important to the successful conduct of the Group’s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2025 Equity Incentive Plan is substantially similar to the expired 2014 Equity Incentive Plan. The following paragraphs describe the principal terms of the 2025 Equity Incentive Plan. </w:t>
      </w:r>
    </w:p>
    <w:p>
      <w:pPr>
        <w:pStyle w:val="TextBody"/>
        <w:bidi w:val="0"/>
        <w:spacing w:before="360" w:after="283"/>
        <w:jc w:val="both"/>
        <w:rPr>
          <w:rFonts w:ascii="Times New Roman" w:hAnsi="Times New Roman"/>
          <w:sz w:val="20"/>
        </w:rPr>
      </w:pPr>
      <w:r>
        <w:rPr>
          <w:rFonts w:ascii="Times New Roman" w:hAnsi="Times New Roman"/>
          <w:i/>
          <w:color w:val="000000"/>
          <w:sz w:val="20"/>
        </w:rPr>
        <w:t>Plan Administration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has full power and authority, in its sole discretion, to administer, implement and carry out the 2025 Equity Incentive Plan, including, without limitation, (i) selecting grantees from the individuals eligible to receive Awards, the time when Awards will be granted, the number of Awards and the number of shares of common stock covered by each Award; (ii) determining the terms and conditions of each Award grant; (iii) approving the forms of agreement for use under the 2025 Equity Incentive Plan; (iv) establishing, adopting, or revising any rules and regulations to administer the 2025 Equity Incentive Plan; and (v) taking any and all other action as it deems necessary or advisable for the operation or administration of the 2025 Equity Incentive Plan and the Awards thereunder.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Shares Reserved for the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certain adjustments set forth in the 2025 Equity Incentive Plan, the total number of our shares available for grant and issuance pursuant to the 2025 Equity Incentive Plan from time to time will be 1,800,000 shares of common stock. Any shares distributed pursuant to an Award under the 2025 Equity Incentive Plan may consist, in whole or in part, of authorized and unissued shares, treasury shares (subject to applicable laws) or shares purchased on the open market. If any shares subject to an Award are forfeited, canceled or expire or such Award is settled for cash (in whole or in part) for any reason, such shares will, to the extent of such forfeiture, cancellation, expiration or cash settlement, again become available for grant and issuance in connection with future Awards under the 2025 Equity Incentive Plan. Under the terms of the 2025 Equity Incentive Plan, the maximum number of shares of common stock that may be subject to one or more awards granted to any one person during any calendar year is 300,000. </w:t>
      </w:r>
    </w:p>
    <w:p>
      <w:pPr>
        <w:pStyle w:val="TextBody"/>
        <w:bidi w:val="0"/>
        <w:spacing w:before="360" w:after="283"/>
        <w:jc w:val="both"/>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the conditions set forth in the 2025 Equity Incentive Plan, any person, including directors, officers and employees of the Company or any of its subsidiaries who are in positions of substantial responsibility and whose contributions are important to the successful conduct of the Group’s business are eligible to be granted Awards. </w:t>
      </w:r>
    </w:p>
    <w:p>
      <w:pPr>
        <w:pStyle w:val="TextBody"/>
        <w:bidi w:val="0"/>
        <w:spacing w:before="360" w:after="283"/>
        <w:jc w:val="both"/>
        <w:rPr>
          <w:rFonts w:ascii="Times New Roman" w:hAnsi="Times New Roman"/>
          <w:sz w:val="20"/>
        </w:rPr>
      </w:pPr>
      <w:r>
        <w:rPr>
          <w:rFonts w:ascii="Times New Roman" w:hAnsi="Times New Roman"/>
          <w:i/>
          <w:color w:val="000000"/>
          <w:sz w:val="20"/>
        </w:rPr>
        <w:t>Share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option granted under the 2025 Equity Incentive Plan will be evidenced by a written award agreement. In order to accept any option, the optionee must pay consideration of US$1 per Award. The exercise price of options is set by the Compensation Committee at the time the option is granted and should not be less than the fair market value of the common stock subject to the option on the date the option is granted and the par value of the common stock. For the purpose of the 2025 Equity Incentive Plan, fair market value means the average closing trading price of a common stock over the three trading days immediately preceding the applicable grant date. The options may vest based on performance or other criteria and, at any time after the grant of an option, the Compensation Committee may, in its sole discretion, accelerate the vesting of such option. The term of share options may not exceed ten years from the date of grant.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there are 820,000 options outstanding under the 2025 Equity Incentive Plan and the number of share options granted to the directors and executive officers of the Company is set out in the following table.</w:t>
      </w:r>
    </w:p>
    <w:p>
      <w:pPr>
        <w:pStyle w:val="TextBody"/>
        <w:bidi w:val="0"/>
        <w:jc w:val="both"/>
        <w:rPr/>
      </w:pPr>
      <w:r>
        <w:rPr/>
        <w:t> </w:t>
      </w:r>
    </w:p>
    <w:tbl>
      <w:tblPr>
        <w:tblW w:w="8492" w:type="dxa"/>
        <w:jc w:val="left"/>
        <w:tblInd w:w="0" w:type="dxa"/>
        <w:tblLayout w:type="fixed"/>
        <w:tblCellMar>
          <w:top w:w="28" w:type="dxa"/>
          <w:left w:w="28" w:type="dxa"/>
          <w:bottom w:w="28" w:type="dxa"/>
          <w:right w:w="28" w:type="dxa"/>
        </w:tblCellMar>
      </w:tblPr>
      <w:tblGrid>
        <w:gridCol w:w="2251"/>
        <w:gridCol w:w="146"/>
        <w:gridCol w:w="210"/>
        <w:gridCol w:w="1125"/>
        <w:gridCol w:w="146"/>
        <w:gridCol w:w="303"/>
        <w:gridCol w:w="822"/>
        <w:gridCol w:w="146"/>
        <w:gridCol w:w="1576"/>
        <w:gridCol w:w="146"/>
        <w:gridCol w:w="162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br/>
              <w:t>(US$/Share)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HOH Weng 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GAN Khai Choon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KWEK Leng Peck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HO Kiam Kong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 Hanyang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December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December 2, 2035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NEO Poh Kiat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XIE Tao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WONG Hong Wai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LOO Choon 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9, 2035</w:t>
            </w:r>
          </w:p>
        </w:tc>
      </w:tr>
      <w:tr>
        <w:trPr/>
        <w:tc>
          <w:tcPr>
            <w:tcW w:w="2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690,000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rFonts w:ascii="Times New Roman" w:hAnsi="Times New Roman"/>
          <w:sz w:val="20"/>
        </w:rPr>
      </w:pPr>
      <w:r>
        <w:rPr>
          <w:rFonts w:ascii="Times New Roman" w:hAnsi="Times New Roman"/>
          <w:i/>
          <w:color w:val="000000"/>
          <w:sz w:val="20"/>
        </w:rPr>
        <w:t>Restricted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is authorized to grant shares subject to various restrictions, including restrictions concerning voting rights and transferability, and such restrictions may lapse separately or in combination at such times and pursuant to such circumstances or based on such criteria as selected by the Compensation Committee. The grant of restricted stock and stock payments must be at a purchase price to be established by the Compensation Committee but in any event, no less than US$1 per Award. Subject to the conditions set forth in the 2025 Equity Incentive Plan, upon issuance of restricted stock, the holder shall have, unless otherwise provided by the Compensation Committee, all the rights of a shareholder with respect to said shares, subject to the restrictions in each individual award agreement, including the right to receive all dividends and other distributions paid or made with respect to the shares; provided, however, that, in the sole discretion of the Compensation Committee, any extraordinary or special dividends or distributions with respect to the shares shall be subject to the restrictions set forth in the 2025 Equity Incentive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Stock Payments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is authorized to make stock payments, which may, but are not required to, be made in lieu of base salary, bonus, fees or other cash compensation otherwise payable. The grant of stock payments must be at a purchase price to be established by the Compensation Committee but in any event, no less than US$1 per Award. The terms and conditions (including, without limitation, the number or value of shares) of any stock payment shall be determined by the Compensation Committee and may be based on the holder’s duration of employment or service with Company, the Company’s performance, individual performance or other criteria selected by the Compensation Committee, at one time or from time to time, periodically or otherwise. Unless otherwise provided by the Compensation Committee, a holder of a stock payment shall have no rights as a shareholder with respect to such stock payment until such time as the shares underlying the Award have been issued. </w:t>
      </w:r>
    </w:p>
    <w:p>
      <w:pPr>
        <w:pStyle w:val="TextBody"/>
        <w:bidi w:val="0"/>
        <w:spacing w:before="360" w:after="283"/>
        <w:jc w:val="both"/>
        <w:rPr>
          <w:rFonts w:ascii="Times New Roman" w:hAnsi="Times New Roman"/>
          <w:sz w:val="20"/>
        </w:rPr>
      </w:pPr>
      <w:r>
        <w:rPr>
          <w:rFonts w:ascii="Times New Roman" w:hAnsi="Times New Roman"/>
          <w:i/>
          <w:color w:val="000000"/>
          <w:sz w:val="20"/>
        </w:rPr>
        <w:t>Non-transferability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Awards granted under our 2025 Equity Incentive Plan are generally not transferable during the lifetime of the award holder. </w:t>
      </w:r>
    </w:p>
    <w:p>
      <w:pPr>
        <w:pStyle w:val="TextBody"/>
        <w:bidi w:val="0"/>
        <w:spacing w:before="360" w:after="283"/>
        <w:jc w:val="both"/>
        <w:rPr>
          <w:rFonts w:ascii="Times New Roman" w:hAnsi="Times New Roman"/>
          <w:sz w:val="20"/>
        </w:rPr>
      </w:pPr>
      <w:r>
        <w:rPr>
          <w:rFonts w:ascii="Times New Roman" w:hAnsi="Times New Roman"/>
          <w:i/>
          <w:color w:val="000000"/>
          <w:sz w:val="20"/>
        </w:rPr>
        <w:t>Amendment, Suspension and Termination of the 2025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Compensation Committee or the Board of Directors of the Company may, at any time terminate, and from time to time may amend or modify the 2025 Equity Incentive Plan; provided, however, that no amendment or modification may become effective without approval of the amendment or modification by the shareholders of the Company if (a) shareholder approval is required to enable the 2025 Equity Incentive Plan to satisfy any applicable statutory or regulatory requirements or (b) the Company, on the advice of counsel, determines that shareholder approval otherwise is necessary or desirable. No amendment, modification or termination of the 2025 Equity Incentive Plan shall in any manner adversely affect any Awards theretofore granted under the 2025 Equity Incentive Plan without the consent of the holders or the permitted transferee(s) of such Awards, subject always to applicable laws. No Awards may be granted or awarded during any period of suspension or after termination of the 2025 Equity Incentive Plan. </w:t>
      </w:r>
    </w:p>
    <w:p>
      <w:pPr>
        <w:pStyle w:val="TextBody"/>
        <w:bidi w:val="0"/>
        <w:spacing w:before="360" w:after="283"/>
        <w:jc w:val="both"/>
        <w:rPr>
          <w:rFonts w:ascii="Times New Roman" w:hAnsi="Times New Roman"/>
          <w:sz w:val="20"/>
        </w:rPr>
      </w:pPr>
      <w:r>
        <w:rPr>
          <w:rFonts w:ascii="Times New Roman" w:hAnsi="Times New Roman"/>
          <w:i/>
          <w:color w:val="000000"/>
          <w:sz w:val="20"/>
        </w:rPr>
        <w:t>Duration of the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2025 Equity Incentive Plan shall terminate on the date that is ten (10) years from the effective date, unless earlier terminated. Awards outstanding at the time of the 2025 Equity Incentive Plan’s termination may continue to be exercised in accordance with their terms and shall continue to be governed by and interpreted consistent with the terms of the 2025 Equity Incentive Plan.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Incentive Plans of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Guangxi Yuchai Machinery Company Limited Equity Holding Scheme (the “Yuchai Equity Scheme”) and the Guangxi Yuchai Marine and Genset Power Co., Ltd Incentive Scheme (the “MGP Incentive Scheme”, and together with the Yuchai Equity Scheme, the “Schemes”) were approved by the shareholders of Yuchai and became effective on June 20, 2024. Participants of the Yuchai Equity Scheme are employees (who may also be directors) within the Yuchai group of entities (other than MGP and its subsidiaries), and participants of the MGP Incentive Scheme are employees (who may also be directors) of MGP and its subsidiaries. Pursuant to the Schemes, the registered capital of MGP was increased by an aggregate of RMB 28 million, corresponding to 6.54% of the enlarged registered capital of MGP (the “MGP Interest”), for subscription by three partnership vehicles established by the participants at a price of RMB 2.96 per RMB 1 of MGP’s registered capital. Following the awards of the MGP Interest, Yuchai’s equity interest in MGP decreased from 100% to 93.46% and the Company’s effective equity interest in MGP decreased from 76.4% to 71.4%. </w:t>
      </w:r>
    </w:p>
    <w:p>
      <w:pPr>
        <w:pStyle w:val="TextBody"/>
        <w:bidi w:val="0"/>
        <w:spacing w:before="240" w:after="283"/>
        <w:jc w:val="both"/>
        <w:rPr>
          <w:rFonts w:ascii="Times New Roman" w:hAnsi="Times New Roman"/>
          <w:sz w:val="20"/>
        </w:rPr>
      </w:pPr>
      <w:r>
        <w:rPr>
          <w:rFonts w:ascii="Times New Roman" w:hAnsi="Times New Roman"/>
          <w:color w:val="000000"/>
          <w:sz w:val="20"/>
        </w:rPr>
        <w:t>In 2025, Yuchai’s interest in MGP increased by 0.55% following the acquisition of a Partnership Interest from a participant who withdrew from the Yuchai Equity Scheme, such that the Group’s effective interest in MGP increased from 71.4% to 71.8% as of December 31, 2025. The ownership of the acquired Partnership Interest remains subject to the terms of the Yuchai Equity Scheme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subsidiary, Guangxi SKY Cloud Technology Co., Ltd. (“Sky Cloud”) adopted the Guangxi SKY Cloud Technology Co., Ltd. Equity Incentive Plan (the “Sky Cloud Equity Plan”) on March 21, 2025, in order to motivate and incentivize employees who play a vital role in its long-term growth. Under the Sky Cloud Equity Plan, Sky Cloud’s registered capital will be increased by an aggregate of RMB 1.25 million, corresponding to a 20% interest of the enlarged registered capital of Sky Cloud (the “Sky Cloud Interest”), for subscription by separated partnership vehicles established by selected employees, directors and senior officers of Sky Cloud. The Sky Cloud Interest is to be granted in two phases: Phase One, amounting to an aggregate of RMB 1,080,002, was granted in April 2025 at a subscription price of RMB 1 per RMB 1 registered capital, reducing Yuchai’s equity interest in Sky Cloud from 100% to 82.24%. The remaining Sky Cloud Interest under Phase Two is to be granted by June 30, 2027, at a subscription price of 80% of the latest audited net assets value or RMB 1 (whichever is higher) per RMB 1 registered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Disclosure of a Registrant’s Action to Recover Erroneously Awarded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14" w:name="item_7"/>
      <w:bookmarkEnd w:id="14"/>
      <w:r>
        <w:rPr>
          <w:rFonts w:ascii="Times New Roman" w:hAnsi="Times New Roman"/>
          <w:b/>
          <w:color w:val="000000"/>
          <w:sz w:val="20"/>
        </w:rPr>
        <w:t>ITEM 7. MAJOR SHAREHOLDERS AND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Major Shareholders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beneficial ownership of our shares of common stock as of December 31, 2025 by all persons who are known to us to own 5% or more of the outstanding shares of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Beneficial ownership is determined in accordance with rules of the SEC, which generally attribute beneficial ownership of securities to persons who possess sole or shared voting power or investment power with respect to those securities and includes equity shares issuable pursuant to the exercise of stock options or warrants that are immediately exercisable or exercisable within 60 days. These shares are deemed to be outstanding and to be beneficially owned by the person holding those options or warrants for the purpose of computing the percentage ownership of that person, but are not treated as outstanding for the purpose of computing the percentage ownership of any other person. Unless otherwise indicated, all information with respect to the beneficial ownership of any principal shareholder has been furnished by such shareholder and, unless otherwise indicated, we believe that persons named in the table have sole voting and sole investment power with respect to all the equity shares shown as beneficially owned. The share numbers and percentages listed below are based on 37,518,322 shares of common stock outstanding as of December 31, 2025 (excluding 3,339,968 shares held as treasury shares). </w:t>
      </w:r>
    </w:p>
    <w:p>
      <w:pPr>
        <w:pStyle w:val="TextBody"/>
        <w:bidi w:val="0"/>
        <w:jc w:val="left"/>
        <w:rPr/>
      </w:pPr>
      <w:r>
        <w:rPr/>
        <w:t> </w:t>
      </w:r>
    </w:p>
    <w:tbl>
      <w:tblPr>
        <w:tblW w:w="5495" w:type="dxa"/>
        <w:jc w:val="left"/>
        <w:tblInd w:w="0" w:type="dxa"/>
        <w:tblLayout w:type="fixed"/>
        <w:tblCellMar>
          <w:top w:w="28" w:type="dxa"/>
          <w:left w:w="28" w:type="dxa"/>
          <w:bottom w:w="28" w:type="dxa"/>
          <w:right w:w="28" w:type="dxa"/>
        </w:tblCellMar>
      </w:tblPr>
      <w:tblGrid>
        <w:gridCol w:w="2791"/>
        <w:gridCol w:w="109"/>
        <w:gridCol w:w="109"/>
        <w:gridCol w:w="1036"/>
        <w:gridCol w:w="109"/>
        <w:gridCol w:w="109"/>
        <w:gridCol w:w="146"/>
        <w:gridCol w:w="770"/>
        <w:gridCol w:w="316"/>
      </w:tblGrid>
      <w:tr>
        <w:trPr/>
        <w:tc>
          <w:tcPr>
            <w:tcW w:w="2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Identity of Person or Group</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Hong Leong Asia Ltd </w:t>
            </w:r>
            <w:r>
              <w:rPr>
                <w:rFonts w:ascii="Times New Roman" w:hAnsi="Times New Roman"/>
                <w:color w:val="000000"/>
                <w:sz w:val="13"/>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18,270,965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Coomber Investments Limited </w:t>
            </w:r>
            <w:r>
              <w:rPr>
                <w:rFonts w:ascii="Times New Roman" w:hAnsi="Times New Roman"/>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Hong Leong Asia is currently the beneficial owner of and exercises control over the special share and 18,270,965 shares or 48.70% of the outstanding shares of our common stock, excluding treasury shares, held by its wholly-owned subsidiaries, HL Technology and Well Summit Investments Limited. See also “Item 7. Major Shareholders and Related Party Transactions — B. Related Party Transactions — Shareholders Agreement.” Other than as described under “Item 3. Key Information — D. Risk Factors — Risks related to Corporate Structure — We may experience a change of control as a result of sale or disposal of shares of our common stock by our controlling shareholders” and “Item 7. Major Shareholders and Related Party Transactions — A. Major Shareholders — The Special Share,” we are not aware of any arrangement which may, at a subsequent date, result in a change of control of the Company.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Information based on the Schedule 13D filed with the SEC on February 26, 2025 by Coomber, Goldman Industrial Ltd., GY, State-owned Assets Supervision and Administration Commission of the People’s Government of Guangxi Zhuang Autonomous Region, Guangxi Beitou Heying Industrial Investment Partnership (Limited Partnership), Guangxi Industrial Investment and Development Co., Ltd. and the State-owned Assets Supervision and Administration Commission of the People’s Government of Yulin City, according to which each of the foregoing entities may be deemed to share voting and dispositive power with respect to the 7,537,160 shares of our common stock held directly by Coomber. </w:t>
      </w:r>
    </w:p>
    <w:p>
      <w:pPr>
        <w:pStyle w:val="TextBody"/>
        <w:bidi w:val="0"/>
        <w:jc w:val="both"/>
        <w:rPr>
          <w:rFonts w:ascii="Times New Roman" w:hAnsi="Times New Roman"/>
          <w:color w:val="000000"/>
          <w:sz w:val="20"/>
        </w:rPr>
      </w:pPr>
      <w:r>
        <w:rPr>
          <w:rFonts w:ascii="Times New Roman" w:hAnsi="Times New Roman"/>
          <w:color w:val="000000"/>
          <w:sz w:val="20"/>
        </w:rPr>
        <w:t xml:space="preserve">As of February 28, 2026, there were 22,597,335 shares of our common stock, or 55.31% of the total number of issued shares of 40,858,290 (including 3,339,968 shares held as treasury shares), held of record by 9 holders with registered addresses in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Except as described below under “The Special Share”, each of our shareholders is entitled to one vote on all matters that require a vote of shareholders, and none of our shareholders has any contractual or other special voting rights. </w:t>
      </w:r>
    </w:p>
    <w:p>
      <w:pPr>
        <w:pStyle w:val="TextBody"/>
        <w:bidi w:val="0"/>
        <w:spacing w:before="360" w:after="283"/>
        <w:jc w:val="both"/>
        <w:rPr>
          <w:rFonts w:ascii="Times New Roman" w:hAnsi="Times New Roman"/>
          <w:sz w:val="20"/>
        </w:rPr>
      </w:pPr>
      <w:r>
        <w:rPr>
          <w:rFonts w:ascii="Times New Roman" w:hAnsi="Times New Roman"/>
          <w:b/>
          <w:color w:val="000000"/>
          <w:sz w:val="20"/>
        </w:rPr>
        <w:t>The Special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special share entitles the holder thereof to elect a majority of our Directors. In addition, no shareholders’ resolution may be passed without the affirmative vote of the special share, including any resolution to amend the Memorandum of Association or our Bye-Laws. The special share is not transferable except to Hong Leong Asia, Hong Leong China or any of its affiliates. In 1994, we issued the special share to Diesel Machinery, a holding company of the Company then controlled by Hong Leong China. During 2002, following the decision of the shareholders of Diesel Machinery to dissolve Diesel Machinery, Diesel Machinery redeemed all of the redeemable stock issued by it to its shareholders. According to the Diesel Machinery shareholders, Diesel Machinery transferred all of the shares of our common stock held by it to its shareholders, which included Hong Leong China and its wholly-owned subsidiaries.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Coomber, a wholly-owned subsidiary of China Everbright Holdings, was the shareholder of Diesel Machinery which gave notice of the dissolution of Diesel Machinery, the special share was transferred by Diesel Machinery to HL Technology, an affiliate of Hong Leong Asia, pursuant to the terms of the Diesel Machinery Shareholders Agreement described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Bye-Laws provide that the special share shall cease to carry any rights in the event that, if Hong Leong Asia and its affiliates own the special share, Hong Leong Asia and its affiliates cease to own, directly or indirectly, at least 7,290,000 shares of common stock (or such equivalent number upon a consolidation or subdivision of the shares of common stock), or if China Everbright Holdings and its affiliates own the special share, China Everbright Holdings and its affiliates cease to own, directly or indirectly, at least 6,570,000 shares of common stock (or such equivalent number upon a consolidation or subdivision of the shares of common stock). The Bye-Laws also provide for circumstances in which Diesel Machinery holds the special share. However, Diesel Machinery was dissolved in 2003. HL Technology, an affiliate of Hong Leong Asia, holds the special share in addition to 9,520,251 shares of common stock, which is greater than the number stipulated in the provisions of our Bye-Laws set forth above.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Related Party Transactions </w:t>
      </w:r>
    </w:p>
    <w:p>
      <w:pPr>
        <w:pStyle w:val="TextBody"/>
        <w:bidi w:val="0"/>
        <w:spacing w:before="120" w:after="283"/>
        <w:jc w:val="both"/>
        <w:rPr>
          <w:rFonts w:ascii="Times New Roman" w:hAnsi="Times New Roman"/>
          <w:sz w:val="20"/>
        </w:rPr>
      </w:pPr>
      <w:r>
        <w:rPr>
          <w:rFonts w:ascii="Times New Roman" w:hAnsi="Times New Roman"/>
          <w:b/>
          <w:color w:val="000000"/>
          <w:sz w:val="20"/>
        </w:rPr>
        <w:t>Shareholders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Hong Leong China, China Everbright Holdings, The Cathay Investment Fund, Limited, or Cathay, GS Capital Partners L.P., or GSCP, 14 shareholders who initially invested in us through Sun Yuan BVI, or the Sun Yuan Shareholders, and the Company in 1994 entered into an amended and restated Shareholders Agreement, or the Shareholders Agreement, which provides for certain matters relating to the management of our Company and Yuchai and the ownership of our common stock. The Shareholders Agreement provides that our Board of Directors will consist of eleven directors, the controlling shareholder (as described below) will be entitled to designate six directors, the major shareholder (as described below) will be entitled to designate two directors, and each of Cathay and GSCP will be entitled to designate one director and the chief executive officer of Yuchai will initially be the other director. The Shareholders Agreement also provides that the controlling shareholder will be entitled to designate five of the nine Yuchai directors that we are entitled to designate, the major shareholder will be entitled to designate two such directors and each of Cathay and GSCP will be entitled to designate one such director. Under the Shareholders Agreement, the nine Yuchai directors designated by us will vote as a block in accordance with the vote of the majority of such nine directors. The Shareholders Agreement provides that the controlling shareholder will be the person holding the special share, provided that at all times the controlling shareholder will be either Hong Leong Asia or China Everbright Holdings, and the other will be the major shareholder. Since our initial public offering in 1994, Hong Leong Asia has been the controlling shareholder and China Everbright Holdings has been the major shareholder. However, in October 2002, China Everbright Holdings sold all of its shares in Coomber to Goldman in October 2002 and is no longer our major shareholder. The Shareholder Agreement provides that if any shareholder (other than the controlling shareholder) ceases to own at least 4% of our common stock, such shareholder will no longer be entitled to designate any directors. Accordingly, China Everbright Holdings no longer has director designation rights. The Shareholders Agreement also provides that, so long as Hong Leong Asia is the controlling shareholder, Yuchai or we will pay Hong Leong Asia an annual management fee of not less than US$500,000 for management services provided by Hong Leong Asia, including the services of our president and chief financial officer. With effect from January 2008, further to agreements entered into between the Company and Yuchai, Yuchai has paid to the Company, instead of Hong Leong Asia, a consultancy and management services fee of US$1,000,000 per annum. Hong Leong Asia has agreed to waive its right to be paid any fees as set out in the Shareholders Agreement. The Shareholders Agreement will terminate upon the occurrence of an event resulting in the special share ceasing to carry any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Shareholders Agreement, Hong Leong Asia, China Everbright Holdings and Diesel Machinery had entered into a Subscription and Shareholders Agreement on November 9, 1994, as amended on January 21, 2002 and May 17, 2002, or the Diesel Machinery Shareholders Agreement, which provided for certain matters relating to the management of Diesel Machinery, the Company, Yuchai and the ownership of Diesel Machinery stock. The Diesel Machinery Shareholders Agreement provided that Hong Leong Asia would control Diesel Machinery, provided, however, that if Hong Leong Asia and its affiliates ceased to own directly or through Diesel Machinery at least 7,290,000 shares of common stock when China Everbright Holdings and its affiliates own directly or through Diesel Machinery at least 6,570,000 shares of common stock, China Everbright Holdings would control Diesel Machinery. The Diesel Machinery Shareholders Agreement provided that all rights of the special share held by Diesel Machinery would be exercised as directed by the shareholder that controls Diesel Machinery. With the dissolution of Diesel Machinery and the sale by China Everbright Holdings of all of its shares in Coomber to Goldman in October 2002, the Diesel Machinery Shareholders Agreement no longer directly affects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Registration Rights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a registration rights agreement, or the Registration Rights Agreement, we have granted two “demand” registration rights to each of Hong Leong China, China Everbright Holdings, Cathay, GSCP and the Sun Yuan Shareholders, or collectively the Selling Stockholders, requiring us, subject to certain conditions, to use our best efforts to prepare and file a registration statement on behalf of such shareholders under the Securities Act, and to use our best efforts to qualify the shares for offer and sale under any applicable the U.S. state securities laws. Expenses incurred in connection with one demand registration for each such shareholder will be borne by us, and we and Yuchai will be required to indemnify the underwriters in connection with any demand registration. The Registration Rights Agreement also grants each such shareholder certain “piggyback” registration rights entitling each shareholder to sell common stock in any registered offerings of our equity securities, for our account or on behalf of our security holders. China Everbright Holdings, Cathay, GSCP and the Sun Yuan Shareholders are no longer our shareholders. In March 2004, HL Technology and Coomber each registered shares for offer and sale from time to time on a shelf registration statement on Form F-3 which we filed on their behalf pursuant to a registration rights agreement. The shelf registration statement was rendered ineffective as we were not eligible to use the Form F-3 as a result of the delay in our filing of our previous periodic reports required under the Exchange Act. However, we are now compliant with our reporting obligations as required under the Securities Exchange Act of 1934 and are eligible to use the Form F-3. We have not received any instructions from either HL Technology or Coomber pursuant to the registration rights agreement, to take any further action in relation to the shelf registration statement. </w:t>
      </w:r>
    </w:p>
    <w:p>
      <w:pPr>
        <w:pStyle w:val="TextBody"/>
        <w:bidi w:val="0"/>
        <w:spacing w:before="360" w:after="283"/>
        <w:jc w:val="both"/>
        <w:rPr>
          <w:rFonts w:ascii="Times New Roman" w:hAnsi="Times New Roman"/>
          <w:sz w:val="20"/>
        </w:rPr>
      </w:pPr>
      <w:r>
        <w:rPr>
          <w:rFonts w:ascii="Times New Roman" w:hAnsi="Times New Roman"/>
          <w:b/>
          <w:color w:val="000000"/>
          <w:sz w:val="20"/>
        </w:rPr>
        <w:t>Reorganization Agreement and Cooperation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7, 2005, we entered into the Reorganization Agreement with Yuchai and Coomber, which is intended to be in furtherance of the terms of the July 2003 Agreement. On November 30, 2006, certain provisions of the Reorganization Agreement were amended, including extending the implementation deadline to June 30, 2007.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Reorganization Agreement was scheduled to terminate on June 30, 2007. On June 30, 2007, we entered into the Cooperation Agreement with Yuchai, Coomber and GY, which is intended to be in furtherance of certain terms of the Reorganization Agreement, as amended. The Cooperation Agreement amends certain terms of the Reorganization Agreement, as amended, among CYI, Yuchai and Coomber, and as so amended, incorporates certain terms of the Reorganization Agreement. See “Item 4. Information on the Company — A. History and Development of the Company — Cooperation Agreement.”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Other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provide certain management, financial planning, internal audit services, internal control testing, IFRS Accounting Standards training, business enhancement consulting and other services to Yuchai and we have a team working full-time at Yuchai’s principal manufacturing facilities in Yulin city. In addition, the President, Chief Financial Officer, Senior Vice President of Operations and a manager proficient in Section 404 of Sarbanes-Oxley Act of 2002, or SOX, travel frequently for as much as up to two weeks at a time, to Yuchai to actively participate in Yuchai’s operations and decision-making process. Pursuant to a management services agreement and a consulting services agreement, we charge a total of US$1.0 million per annum to Yuchai for these services. In consideration of the increase of management services as well as higher human resource costs incurred to provide services to Yuchai, the Company entered into supplemental agreements with Yuchai on a yearly basis from 2019 to 2022, for an additional management fee of RMB 3 million per annum paid by Yuchai to the Company. The Company and Yuchai executed a supplemental agreement in March 2023 in respect of an additional management fee of RMB 3 million for the year 2022. In September 2023, the Company and Yuchai entered into a supplemental agreement in respect of an additional management fee of RMB 6 million for the fiscal year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fiscal year 2025, certain affiliates of Hong Leong Asia charged us RMB 3.6 million (US$0.5 million) for certain general and administrative expenses such as insurance premium, corporate secretarial services, office rental, professional and consultancy fees and miscellaneous office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fiscal year 2025, Yuchai entered into agreements with the GY Group (including its affiliates) and with Yuchai’s associates and joint ventures for, in particular, sales of engines and parts to the GY Group, purchase of parts, supplies and engines from the GY Group, and other business relating to, among other things, hospitality, lease of assets, property management services, and delivery, storage, distribution and handling services. For further details on our business transactions with related parties, please see Note 30 to our consolidated financial statements in Item 18.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fiscal year 2019, Yuchai entered into a trademark license agreement with GY on April 25, 2019 (“Trademark License Agreement”) under which GY granted Yuchai an exclusive and perpetual license to use the thirty trademarks listed therein for a one-time, ten-year usage fee of RMB 169.8 million. The Trademark License Agreement further permits Yuchai to continue using the licensed trademarks free-of-charge after the expiry of the ten-year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bookmarkStart w:id="15" w:name="item_8"/>
      <w:bookmarkEnd w:id="15"/>
      <w:r>
        <w:rPr>
          <w:rFonts w:ascii="Times New Roman" w:hAnsi="Times New Roman"/>
          <w:b/>
          <w:color w:val="000000"/>
          <w:sz w:val="20"/>
        </w:rPr>
        <w:t>ITEM 8. FINANCIAL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Consolidated Statements and Other Financial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“Item 18. Financial Statements.” </w:t>
      </w:r>
    </w:p>
    <w:p>
      <w:pPr>
        <w:pStyle w:val="TextBody"/>
        <w:bidi w:val="0"/>
        <w:spacing w:before="360" w:after="283"/>
        <w:jc w:val="both"/>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than as set forth below, neither we nor any of our consolidated subsidiaries are currently involved in any material legal or arbitration proceedings that we believe may have, or have had in the recent past, significant effects on our financial position or profitability. </w:t>
      </w:r>
    </w:p>
    <w:p>
      <w:pPr>
        <w:pStyle w:val="TextBody"/>
        <w:bidi w:val="0"/>
        <w:spacing w:before="360" w:after="283"/>
        <w:jc w:val="both"/>
        <w:rPr>
          <w:rFonts w:ascii="Times New Roman" w:hAnsi="Times New Roman"/>
          <w:sz w:val="20"/>
        </w:rPr>
      </w:pPr>
      <w:r>
        <w:rPr>
          <w:rFonts w:ascii="Times New Roman" w:hAnsi="Times New Roman"/>
          <w:b/>
          <w:i/>
          <w:color w:val="000000"/>
          <w:sz w:val="20"/>
        </w:rPr>
        <w:t>Proceedings with Yuchai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previously encountered difficulties in obtaining the cooperation of the GY Group and Mr. Wang Jianming in the daily management and operation of Yuchai. The GY Group is a minority shareholder of Yuchai and is majority-owned by the Guangxi Zhuang Autonomous Region. Until December 3, 2005, Mr. Wang was the Chairman, legal representative and Chief Executive Officer of Yuchai, as well as the Vice-Chairman and legal representative of the GY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response to earlier difficulties with respect to corporate governance measures and certain dividends declared by Yuchai, we initiated legal and arbitration proceedings in New York, London and Singapore against Yuchai, Mr. Wang and other related parties in May 2003. We subsequently discontinued these proceedings as a result of the execution of the July 2003 Agreement. Among other things, the July 2003 Agreement led to the resolution at that time of previous disagreements with respect to the payment of dividends by Yuchai to us and the re-appointment of Mr. Wang Jianming as Chief Executive Officer and Chairman of the Board of Directors of Yuchai in September 2003. We and Yuchai also agreed to work together to implement corporate governance procedures and to promote plans to enhance shareholder value. However, from time to time, we have continued to face difficulties in obtaining the cooperation of the Chinese shareholders of Yuchai in the daily management and operation of Yuchai and to fully exercise our controlling interest in Yuchai. Following the execution of the July 2003 Agreement, disagreements among the parties recurred. For example, representatives of the Chinese shareholders of Yuchai alleged that resolutions passed by our six wholly-owned subsidiaries at Yuchai’s shareholders’ meeting in December 2004 were invalid, allegations with which we disagreed.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April 2005, we, Yuchai and Coomber agreed on steps relating to the adoption of corporate governance practices at Yuchai and a broad framework for the restructuring of our ownership of Yuchai, and entered into the Reorganization Agreement. The Reorganization Agreement is intended to be in furtherance of the July 2003 Agreement. In December 2005 and November 2006, the parties amended certain provisions of the Reorganization Agreement, including extending the implementation deadline to June 30, 2007. In June 2007, we, Yuchai, Coomber and GY entered into the Cooperation Agreement which amends certain terms of the Reorganization Agreement. Pursuant to the amendments to the Reorganization Agreement, the Company has agreed that the restructuring and spin-off of Yuchai will not be effected, and, recognizing the understandings that have been reached between the Company and GY to jointly undertake efforts to expand the business of Yuchai, the Company will not seek to recover the anti-dilution fee of US$20 million from Yuchai. Although the parties to the Cooperation Agreement are expected to work towards its implementation as expeditiously as possible, no assurance can be given as to when the transactions contemplated therein will be fully consummated, or that implementation of the Cooperation Agreement will effectively resolve all of the difficulties faced by us with respect to its investment in Yuchai. </w:t>
      </w:r>
    </w:p>
    <w:p>
      <w:pPr>
        <w:pStyle w:val="TextBody"/>
        <w:bidi w:val="0"/>
        <w:spacing w:before="360" w:after="283"/>
        <w:jc w:val="both"/>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principal source of cash flow has historically been our share of the dividends, if any, paid to us by Yuchai, as described under “Item 5. Operating and Financial Review and Prospects — B. Liquidity and Capital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1993, in order to finance further expansion, Yuchai sold shares to the Company and became a Sino-foreign joint stock company, i.e., a foreign-invested enterprise, or FIE, under the PRC Foreign Investment Law effective on January 1, 2020. PRC laws and regulations require that before any company, including an FIE such as Yuchai, distributes profits, it must (i) recover losses in previous years; (ii) satisfy all tax liabilities; and (iii) make contributions to the statutory reserve fund in an amount equal to 10% of net income for the year determined in accordance with generally accepted accounting principles in the PRC, or PRC GAAP. However, the allocation of statutory reserve fund will not be further required once the accumulated amount of such fund reaches 50% of the registered capital of Yuchai. Any determination by Yuchai to declare a dividend will be at the discretion of Yuchai’s shareholders and will be dependent upon Yuchai’s financial condition, results of operations, regulatory factors and other relevant factors. Yuchai’s Articles of Association provide that dividends shall be paid at least once a year out of after-tax profits (if any). To the extent Yuchai has foreign currency available, dividends declared by shareholders at a shareholders’ meeting to be paid to holders of Foreign Shares (currently only the Company) will be payable in foreign currency, and such shareholders will have priority thereto. If the foreign currency available is insufficient to pay such dividends, such dividends may be payable partly in Renminbi and partly in foreign currency. Dividends allocated to holders of Foreign Shares may be remitted in accordance with the relevant Chinese laws and regulations. In the event that the dividends are distributed in Renminbi, such dividends may be converted into foreign currency and remitted in accordance with the relevant laws, regulations and policies in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determination by the Company to declare a dividend will be at the discretion of our Board of Directors and will be dependent upon our financial condition, results of operations and other relevant factors. The following table sets forth a five-year summary of dividends we have paid to our shareholders as well as dividends paid to us by Yuchai: </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946"/>
        <w:gridCol w:w="146"/>
        <w:gridCol w:w="507"/>
        <w:gridCol w:w="524"/>
        <w:gridCol w:w="304"/>
        <w:gridCol w:w="146"/>
        <w:gridCol w:w="569"/>
        <w:gridCol w:w="800"/>
        <w:gridCol w:w="400"/>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paid by</w:t>
              <w:br/>
              <w:t>the Company to</w:t>
              <w:br/>
              <w:t>its shareholders</w:t>
              <w:br/>
              <w:t>in the fiscal year</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paid/payable</w:t>
              <w:br/>
              <w:t>by Yuchai to</w:t>
              <w:br/>
              <w:t>the Company</w:t>
              <w:br/>
              <w:t>for the fiscal year</w:t>
              <w:br/>
              <w:t>(in thousands)</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151,796</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5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w:t>
            </w:r>
          </w:p>
        </w:tc>
        <w:tc>
          <w:tcPr>
            <w:tcW w:w="8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115,654</w:t>
            </w:r>
          </w:p>
        </w:tc>
        <w:tc>
          <w:tcPr>
            <w:tcW w:w="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155,411</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52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w:t>
            </w:r>
          </w:p>
        </w:tc>
        <w:tc>
          <w:tcPr>
            <w:tcW w:w="8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191,553</w:t>
            </w:r>
          </w:p>
        </w:tc>
        <w:tc>
          <w:tcPr>
            <w:tcW w:w="4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307,207</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On June 10, 2021, we announced a dividend of US$1.70 per ordinary share amounting to a total of US$69.5 million for the fiscal year 2020. The dividend was paid in cash to our shareholders on July 8, 2021.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dividend declared by Yuchai for the fiscal year 2021 was paid and received by us in July 2022. For the dividend paid for the fiscal year 2021, the total amount paid to us was in Renminbi.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 June 23, 2022, we announced a dividend of US$0.40 per ordinary share amounting to a total of US$16.3 million for the fiscal year 2021. The dividend was paid in cash to our shareholders on July 15, 2022.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dividend declared by Yuchai for the fiscal year 2022 was paid and received by us in July 2023. For the dividend paid for the fiscal year 2022, the total amount paid to us was in Renminbi.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 July 18, 2023, we announced a dividend of US$0.28 per ordinary share amounting to a total of US$11.4 million for the fiscal year 2022. The dividend was paid in cash to our shareholders on August 7, 2023.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dividend declared by Yuchai for the fiscal year 2023 was paid and received by us in June 2024. For the dividend paid for the fiscal year 2023, the total amount paid to us was in Renminbi.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 August 7, 2024, we announced a dividend of US$0.38 per ordinary share amounting to a total of US$14.3 million for the fiscal year 2023. The dividend was paid in cash to our shareholders on August 28, 2024.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dividend declared by Yuchai for fiscal year 2024 was paid and received by us in June 2025. The dividend for fiscal year 2024 paid to us was in Renminbi.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cash dividend of US$0.53 per ordinary share amounting to a total of US$19.9 million for fiscal year 2024 was paid to our shareholders on July 7,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jc w:val="both"/>
        <w:rPr>
          <w:rFonts w:ascii="Times New Roman" w:hAnsi="Times New Roman"/>
          <w:color w:val="000000"/>
          <w:sz w:val="20"/>
        </w:rPr>
      </w:pPr>
      <w:r>
        <w:rPr>
          <w:rFonts w:ascii="Times New Roman" w:hAnsi="Times New Roman"/>
          <w:color w:val="000000"/>
          <w:sz w:val="20"/>
        </w:rPr>
        <w:t xml:space="preserve">The dividend declared by Yuchai for fiscal year 2025 has been approved by Yuchai’s shareholders on February 27, 2026 and will be paid to us within one month after Yuchai’s audited financial statements for fiscal year 2025 are approved by its shareholders.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share buyback plan adopted on June 7, 2024, the Company has repurchased a total of 3,339,968 shares, and as of December 31, 2025, the 3,339,968 shares are held as treasury shares by the Company. See “Item 16E. Purchases of Equity Securities by the Issuer and Affiliated Purchasers.” Pursuant to Section 42B(11) of the Companies Act 1981 (as amended) of Bermuda, no dividend or other distribution of a company’s assets shall be paid or made to the company in respect of shares held by the company as treasury shares. As such, shares repurchased by the Company under the share buyback plan and held by the Company as treasury shares are and will be excluded from the payment of the Company’s dividend.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Significant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disclosed in this Annual Report, we have not experienced any significant changes since the date of our audited consolidated financial statements and/or since the date of the most recent interim financial statements, if any, included in this Annual Report.</w:t>
      </w:r>
    </w:p>
    <w:p>
      <w:pPr>
        <w:pStyle w:val="TextBody"/>
        <w:bidi w:val="0"/>
        <w:spacing w:before="360" w:after="283"/>
        <w:jc w:val="both"/>
        <w:rPr>
          <w:rFonts w:ascii="Times New Roman" w:hAnsi="Times New Roman"/>
          <w:sz w:val="20"/>
        </w:rPr>
      </w:pPr>
      <w:bookmarkStart w:id="16" w:name="item_9"/>
      <w:bookmarkEnd w:id="16"/>
      <w:r>
        <w:rPr>
          <w:rFonts w:ascii="Times New Roman" w:hAnsi="Times New Roman"/>
          <w:b/>
          <w:color w:val="000000"/>
          <w:sz w:val="20"/>
        </w:rPr>
        <w:t>ITEM 9. THE OFFER AND LISTING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bookmarkStart w:id="17" w:name="tx757705_14"/>
      <w:bookmarkEnd w:id="17"/>
      <w:r>
        <w:rPr>
          <w:rFonts w:ascii="Times New Roman" w:hAnsi="Times New Roman"/>
          <w:color w:val="000000"/>
          <w:sz w:val="20"/>
        </w:rPr>
        <w:t xml:space="preserve">Since December 16, 1994, our common stock has been listed and traded on the NYSE under the symbol “CYD.” Our common stock is not listed on any other exchanges within or outside the United States. </w:t>
      </w:r>
    </w:p>
    <w:p>
      <w:pPr>
        <w:pStyle w:val="TextBody"/>
        <w:bidi w:val="0"/>
        <w:spacing w:before="360" w:after="283"/>
        <w:jc w:val="both"/>
        <w:rPr>
          <w:rFonts w:ascii="Times New Roman" w:hAnsi="Times New Roman"/>
          <w:sz w:val="20"/>
        </w:rPr>
      </w:pPr>
      <w:bookmarkStart w:id="18" w:name="item_10"/>
      <w:bookmarkEnd w:id="18"/>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10. ADDITIONAL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Company’s objects are to perform all the functions of a holding company and to coordinate the policy and administration of any subsidiary company. See paragraphs 6 and 7 of our Company’s Memorandum of Association for further information on the objects and powers of our Company. Please see Exhibit 1.1 to this Annual Report.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Memorandum of Association and Bye-Laws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 w:hAnsi="Times New Roman"/>
          <w:sz w:val="20"/>
        </w:rPr>
      </w:pPr>
      <w:r>
        <w:rPr>
          <w:rFonts w:ascii="Times New Roman" w:hAnsi="Times New Roman"/>
          <w:b/>
          <w:color w:val="000000"/>
          <w:sz w:val="20"/>
        </w:rPr>
        <w:t>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exempted company incorporated in Bermuda and are subject to the laws of Bermuda. In addition, an exempted company may comply with the corporate governance regime of the relevant jurisdiction in which the company operates or applicable listing standards. Under Bermuda law, directors of a company owe a fiduciary duty to the company to act in good faith in their dealings with or on behalf of the company and to exercise their powers and fulfill the duties of their office honestly. In addition, the Companies Act 1981, as amended, of Bermuda (“Bermuda Companies Act”) imposes a duty on every officer, which includes a director, of an exempted company in exercising his or her powers and discharging his or her duties to act honestly and in good faith with a view to the best interests of the company and to exercise the care, diligence and skill that a reasonably prudent person would exercise in comparable circumstances. Further, every officer is required to comply with the Bermuda Companies Act and regulations thereunder and the bye-laws of the company. The Bermuda Companies Act does not impose specific obligations in respect of corporate governance, such as those prescribed by NYSE listing standards, requiring a company to (i) appoint independent directors to the board of directors; (ii) hold regular meetings of non-management directors; (iii) establish audit, nominating and governance or compensation committees and adopt corporate governance guidelines for such committees; (iv) have shareholders approve equity compensation plans; or (v) adopt a code of business conduct and ethics.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the NYSE listing standards, although, because we are a foreign private issuer, those standards are considerably different from those applied to U.S. companies. Under the NYSE rules, we need only (i) establish an independent audit committee that has specified responsibilities as described in the following table; (ii) provide prompt certification by our chief executive officer of any material non-compliance with any corporate governance rules; (iii) provide periodic written affirmations to the NYSE with respect to our corporate governance practices; and (iv) provide a brief description of significant differences between our corporate governance practices and those followed by U.S.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compares the Company’s principal corporate governance practices, which are in compliance with Bermuda law, to those required of U.S. companies.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7063"/>
        <w:gridCol w:w="146"/>
        <w:gridCol w:w="146"/>
        <w:gridCol w:w="2689"/>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706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89" w:type="dxa"/>
            <w:tcBorders/>
            <w:shd w:fill="FFFFFF" w:val="clear"/>
            <w:vAlign w:val="center"/>
          </w:tcPr>
          <w:p>
            <w:pPr>
              <w:pStyle w:val="TableContents"/>
              <w:bidi w:val="0"/>
              <w:spacing w:before="0" w:after="283"/>
              <w:jc w:val="left"/>
              <w:rPr>
                <w:sz w:val="4"/>
                <w:szCs w:val="4"/>
              </w:rPr>
            </w:pPr>
            <w:r>
              <w:rPr>
                <w:sz w:val="4"/>
                <w:szCs w:val="4"/>
              </w:rPr>
            </w:r>
          </w:p>
        </w:tc>
      </w:tr>
      <w:tr>
        <w:trPr/>
        <w:tc>
          <w:tcPr>
            <w:tcW w:w="7224"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Standard for U.S. Domestic Listed Companies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China Yuchai International Limited’s Practice</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3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Director Independence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83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70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majority of the board must consist of independent directors.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26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Three of our nine directors, Messrs. Xie Tao, Neo Poh Kiat and Wong Hong Wai are independent within the meaning of the NYSE standards.</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Independence is defined by various criteria including the absence of a material relationship between director and the listed company. Directors who are employees, are immediate family of the chief executive officer or receive over US$120,000 per year in direct compensation from the listed company are not independent. Directors who are employees of or otherwise affiliated through immediate family with the listed company’s independent auditor are also not independent.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70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non-management directors of each company must meet at regularly scheduled executive sessions without management.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26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As a foreign private issuer, our non-management directors are not required to meet periodically without management directors.</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706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Audit Committee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70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Listed companies must have an audit committee that satisfies the requirements of Rule 10A-3 under the Exchange Act. The rule requires that the audit committee (i) be comprised entirely of independent directors; (ii) be directly responsible for the appointment, compensation, retention and oversight of the independent auditor; (iii) adopt procedures for the receipt and treatment of complaints with respect to accounting, internal accounting controls or auditing matters; (iv) be authorized to engage independent counsel and other advisors it deems necessary in performing its duties; and (v) be given sufficient funding by the company to compensate the independent auditors and other advisors as well as for the payment of ordinary administrative expenses incurred by the committee.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26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Audit Committee meets the requirements of Rule 10A-3 under the Exchange 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70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audit committee must consist of at least three members, and each member meets the independence requirements of both the NYSE rules and Rule 10A-3 under the Exchange Act.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26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Audit Committee currently consists of three members, all of whom meet the independence requirements of both the NYSE rules and Rule 10A-3 under the Exchange Act.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70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audit committee must have a written charter that addresses the committee’s purpose and responsibilities.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26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Audit Committee has a charter outlining the committee’s purpose and responsibilities, which are similar in scope to those required of U.S. companies.</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a minimum, the committee’s purpose must be to assist the board in the oversight of the integrity of the company’s financial statements, the company’s compliance with legal and regulatory requirements, the independent auditor’s qualifications and independence and the performance of the company’s internal audit function and independent auditors. The audit committee is also required to review the independent auditing firm’s annual report describing the firm’s internal quality control procedures, any material issues raised by the most recent internal quality control review or peer review of the firm, or by any recent governmental inquiry or investigation, and any steps taken to address such issues.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26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Audit Committee’s charter outlines the committee’s purpose and responsibilities which are similar in scope to those required of U.S. companies.</w:t>
            </w:r>
          </w:p>
        </w:tc>
      </w:tr>
      <w:tr>
        <w:trPr/>
        <w:tc>
          <w:tcPr>
            <w:tcW w:w="722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
        <w:gridCol w:w="4869"/>
        <w:gridCol w:w="146"/>
        <w:gridCol w:w="146"/>
        <w:gridCol w:w="4882"/>
      </w:tblGrid>
      <w:tr>
        <w:trPr/>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48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82" w:type="dxa"/>
            <w:tcBorders/>
            <w:shd w:fill="FFFFFF" w:val="clear"/>
            <w:vAlign w:val="center"/>
          </w:tcPr>
          <w:p>
            <w:pPr>
              <w:pStyle w:val="TableContents"/>
              <w:bidi w:val="0"/>
              <w:spacing w:before="0" w:after="283"/>
              <w:jc w:val="left"/>
              <w:rPr>
                <w:sz w:val="4"/>
                <w:szCs w:val="4"/>
              </w:rPr>
            </w:pPr>
            <w:r>
              <w:rPr>
                <w:sz w:val="4"/>
                <w:szCs w:val="4"/>
              </w:rPr>
            </w:r>
          </w:p>
        </w:tc>
      </w:tr>
      <w:tr>
        <w:trPr/>
        <w:tc>
          <w:tcPr>
            <w:tcW w:w="5031"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Standard for U.S. Domestic Listed Companies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China Yuchai International Limited’s Practice</w:t>
            </w:r>
          </w:p>
        </w:tc>
      </w:tr>
      <w:tr>
        <w:trPr/>
        <w:tc>
          <w:tcPr>
            <w:tcW w:w="5031"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028"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03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audit committee is also required to assess the auditor’s independence by reviewing all relationships between the company and its auditor. It must establish the company’s hiring guidelines for employees and former employees of the independent auditor. The committee must also discuss the company’s annual audited financial statements and quarterly financial statements with management and the independent auditors, the company’s earnings press releases, as well as financial information and earnings guidance provided to analysts and rating agencies, and policies with respect to risk assessment and risk management. It must also meet separately, periodically, with management, the internal auditors and the independent auditors.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Audit Committee assesses the auditor’s independence on an ongoing basis by reviewing all relationships between the Company and its auditor. It has established the Company’s hiring guidelines for employees and former employees of the independent auditor. The committee also discusses with management and the independent auditors the Company’s annual audited financial statements and quarterly financial statements, the Company’s earnings press releases, as well as financial information and earning guidance provided to analysts and rating agencies, and policies with respect to risk assessment and risk management. It also meets separately, periodically, with management, the internal auditors and the independent auditors.</w:t>
            </w:r>
          </w:p>
        </w:tc>
      </w:tr>
      <w:tr>
        <w:trPr/>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Each listed company must disclose whether its board of directors has identified an Audit Committee Financial Expert, and if not the reasons why the board has not done so.</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Board of Directors has identified Mr. Xie Tao as our Audit Committee Financial Expert.</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4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Each listed company must have an internal audit function.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are a holding company and the majority of business is done at our main subsidiary, Yuchai. Yuchai maintains an independent internal audit function headed by a secondee appointed by the Company. The Head of Internal Audit reports to the Chairman of the Audit Committees of the Company and Yuchai who reports to the Boards. The Board of Yuchai approves the audit plan, reviews significant audit issues and monitors corrective actions taken by management.</w:t>
            </w:r>
          </w:p>
        </w:tc>
      </w:tr>
      <w:tr>
        <w:trPr/>
        <w:tc>
          <w:tcPr>
            <w:tcW w:w="503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Compensation Committee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4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Listed companies must have a compensation committee composed entirely of independent board members as defined by the NYSE listing standards.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compensation committee currently has three members, two of whom are independent within the meaning of the NYSE standards.</w:t>
            </w:r>
          </w:p>
        </w:tc>
      </w:tr>
      <w:tr>
        <w:trPr/>
        <w:tc>
          <w:tcPr>
            <w:tcW w:w="162" w:type="dxa"/>
            <w:tcBorders/>
            <w:tcMar>
              <w:top w:w="0" w:type="dxa"/>
              <w:left w:w="0" w:type="dxa"/>
              <w:bottom w:w="0" w:type="dxa"/>
              <w:right w:w="0" w:type="dxa"/>
            </w:tcMar>
            <w:vAlign w:val="center"/>
          </w:tcPr>
          <w:p>
            <w:pPr>
              <w:pStyle w:val="TableContents"/>
              <w:bidi w:val="0"/>
              <w:spacing w:before="0" w:after="283"/>
              <w:jc w:val="both"/>
              <w:rPr/>
            </w:pPr>
            <w:r>
              <w:rPr/>
              <w:t> </w:t>
            </w:r>
          </w:p>
        </w:tc>
        <w:tc>
          <w:tcPr>
            <w:tcW w:w="486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committee must have a written charter that addresses its purpose and responsibilities.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pPr>
            <w:r>
              <w:rPr/>
              <w:t> </w:t>
            </w:r>
          </w:p>
        </w:tc>
        <w:tc>
          <w:tcPr>
            <w:tcW w:w="486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These responsibilities include (i) reviewing and approving corporate goals and objectives relevant to CEO compensation; (ii) evaluating CEO performance and compensation in light of such goals and objectives for the CEO; (iii) based on such evaluation, reviewing and approving CEO compensation levels; (iv) recommending to the board non-CEO compensation, incentive compensation plans and equity-based plans; and (v) producing a report on executive compensation as required by the SEC to be included in the company’s annual proxy statement or annual report. The committee must also conduct an annual performance self-evaluation.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compensation committee reviews among other things the Company’s general compensation structure, and reviews, recommends or approves executive appointments, compensation and benefits of directors and executive officers, subject to ratification by the Board of Directors, and supervises the administration of our employee benefit plans, if any.</w:t>
            </w:r>
          </w:p>
        </w:tc>
      </w:tr>
      <w:tr>
        <w:trPr/>
        <w:tc>
          <w:tcPr>
            <w:tcW w:w="162" w:type="dxa"/>
            <w:tcBorders/>
            <w:tcMar>
              <w:top w:w="0" w:type="dxa"/>
              <w:left w:w="0" w:type="dxa"/>
              <w:bottom w:w="0" w:type="dxa"/>
              <w:right w:w="0" w:type="dxa"/>
            </w:tcMar>
            <w:vAlign w:val="center"/>
          </w:tcPr>
          <w:p>
            <w:pPr>
              <w:pStyle w:val="TableContents"/>
              <w:bidi w:val="0"/>
              <w:spacing w:before="0" w:after="283"/>
              <w:jc w:val="both"/>
              <w:rPr/>
            </w:pPr>
            <w:r>
              <w:rPr/>
              <w:t> </w:t>
            </w:r>
          </w:p>
        </w:tc>
        <w:tc>
          <w:tcPr>
            <w:tcW w:w="486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031"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Nominating/Corporate Governance Committee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pPr>
            <w:r>
              <w:rPr/>
              <w:t> </w:t>
            </w:r>
          </w:p>
        </w:tc>
        <w:tc>
          <w:tcPr>
            <w:tcW w:w="486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Listed companies must have a nominating/corporate governance committee composed entirely of independent board members.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8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do not have a nominating/corporate governance committee. However, certain responsibilities of this committee are undertaken by our Compensation Committee, such as the review and approval of executive appointments and all other functions are performed by the Board of Directors.</w:t>
            </w:r>
          </w:p>
        </w:tc>
      </w:tr>
      <w:tr>
        <w:trPr/>
        <w:tc>
          <w:tcPr>
            <w:tcW w:w="162" w:type="dxa"/>
            <w:tcBorders/>
            <w:tcMar>
              <w:top w:w="0" w:type="dxa"/>
              <w:left w:w="0" w:type="dxa"/>
              <w:bottom w:w="0" w:type="dxa"/>
              <w:right w:w="0" w:type="dxa"/>
            </w:tcMar>
            <w:vAlign w:val="center"/>
          </w:tcPr>
          <w:p>
            <w:pPr>
              <w:pStyle w:val="TableContents"/>
              <w:bidi w:val="0"/>
              <w:spacing w:before="0" w:after="283"/>
              <w:jc w:val="both"/>
              <w:rPr/>
            </w:pPr>
            <w:r>
              <w:rPr/>
              <w:t> </w:t>
            </w:r>
          </w:p>
        </w:tc>
        <w:tc>
          <w:tcPr>
            <w:tcW w:w="4869"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86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committee must have a written charter that addresses its purpose and responsibilities, which include (i) identifying qualified individuals to become board members; (ii) selecting, or recommending that the board select, the director nominees for the next annual meeting of shareholders; (iii) developing and recommending to the board a set of corporate governance principles applicable to the company; (iv) overseeing the evaluation of the board and management; and (v) conducting an annual performance evaluation of the committee.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8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4378"/>
        <w:gridCol w:w="146"/>
        <w:gridCol w:w="146"/>
        <w:gridCol w:w="5374"/>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43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74" w:type="dxa"/>
            <w:tcBorders/>
            <w:shd w:fill="FFFFFF" w:val="clear"/>
            <w:vAlign w:val="center"/>
          </w:tcPr>
          <w:p>
            <w:pPr>
              <w:pStyle w:val="TableContents"/>
              <w:bidi w:val="0"/>
              <w:spacing w:before="0" w:after="283"/>
              <w:jc w:val="left"/>
              <w:rPr>
                <w:sz w:val="4"/>
                <w:szCs w:val="4"/>
              </w:rPr>
            </w:pPr>
            <w:r>
              <w:rPr>
                <w:sz w:val="4"/>
                <w:szCs w:val="4"/>
              </w:rPr>
            </w:r>
          </w:p>
        </w:tc>
      </w:tr>
      <w:tr>
        <w:trPr/>
        <w:tc>
          <w:tcPr>
            <w:tcW w:w="4539"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Standard for U.S. Domestic Listed Companies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China Yuchai International Limited’s Practice</w:t>
            </w:r>
          </w:p>
        </w:tc>
      </w:tr>
      <w:tr>
        <w:trPr/>
        <w:tc>
          <w:tcPr>
            <w:tcW w:w="453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7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39"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Equity-Compensation Plans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7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3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Shareholders must be given the opportunity to vote on all equity—compensation plans and material revisions thereto, with limited exceptions.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53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Our 2025 Equity Incentive Plan was approved by the Company’s shareholders on July 8, 2025, became effective upon its adoption by the Board on May 16, 2025 and will terminate its ten (10) year thereafter, on May 16, 2035, unless earlier terminated.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7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39"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Corporate Governance Guidelines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7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3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Listed companies must adopt and disclose corporate governance guidelines.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53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have formally adopted various corporate governance guidelines, including Code of Business Conduct and Ethics (described below); Audit Committee Charter; Whistle-blowing Policy; Insider Trading Policy; and Disclosure Controls and Procedures.</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7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539"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Code of Business Conduct and Ethics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78"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3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43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All listed companies, U.S. and foreign, must adopt and disclose a code of business conduct and ethics for directors, officers and employees, and promptly disclose any amendment to or waivers of the code for directors or executive officers.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53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adopted a Code of Business Conduct and Ethics Policy in May 2004, which was revised on December 9, 2008. A copy of the Code is posted on our internet website at http://www.cyilimited.com. We intend to promptly disclose any amendment to or waivers of the Code for directors or executive officers.</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Director Interests and Voting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Director of the Company cannot vote or be counted in the quorum with regard to any contract or arrangement or any other proposal in which he has any interest or in respect of which he has any duty which conflicts with his duty to the Company. The restriction from voting and being counted in the quorum does not apply if the only interest the Director has is included in the following list: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resolution regarding granting any security or indemnity for any money lent or obligation incurred by such Director at the request, or for the benefit, of the Company or any of our subsidiaries (or a company of which we are a beneficially wholly-owned subsidiary);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resolution regarding granting any security or indemnity to any third party for a debt or obligation which is owed by the Company or any of our subsidiaries (or a company of which we are a beneficially wholly-owned subsidiary) to the third party, for which such Director has assumed responsibility in whole or in part under a guarantee or indemnity;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resolution about an offer of shares, debentures or other securities of the Company or any of its subsidiaries (or a company of which we are a beneficially wholly-owned subsidiary) for subscription or purchase in which such Director is to be a participant in the underwriting or sub-underwriting of the offer;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resolution about any proposal involving any other company in which such Director is interested, whether directly or indirectly and whether as an officer or shareholder or otherwise, provided that such Director is not the holder of, or directly or indirectly beneficially interested in, 5% or more of (i) any class of the equity share capital of such company or in any third company through which such Director’s interest is derived or (ii) the voting rights in that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contract, arrangement or proposal for the benefit of our employees under which such Director benefits in a similar manner as the employees and does not receive any privileges or advantages not provided to the employees; 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proposal in which such Director is interested in the same manner as other holders of our shares or our debentures or our other securities or any of our subsidiaries by virtue only of such Director’s interest in our shares or our debentures or our other securities or any of our subsidiaries.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Board of Directors is considering proposals about appointing two or more Directors to offices or employments with the Company or any company in which we are interested, each such Director (if not disqualified from voting under proviso to item (d) above) can vote and be included in the quorum for each resolution, except the one concerning such Director.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Borrowing Powers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may exercise all the powers of the Company to borrow money and to mortgage or charge its undertaking, property and uncalled capital or any part thereof and to issue debentures and other securities. </w:t>
      </w:r>
    </w:p>
    <w:p>
      <w:pPr>
        <w:pStyle w:val="TextBody"/>
        <w:bidi w:val="0"/>
        <w:spacing w:before="360" w:after="283"/>
        <w:jc w:val="both"/>
        <w:rPr>
          <w:rFonts w:ascii="Times New Roman" w:hAnsi="Times New Roman"/>
          <w:sz w:val="20"/>
        </w:rPr>
      </w:pPr>
      <w:r>
        <w:rPr>
          <w:rFonts w:ascii="Times New Roman" w:hAnsi="Times New Roman"/>
          <w:b/>
          <w:i/>
          <w:color w:val="000000"/>
          <w:sz w:val="20"/>
        </w:rPr>
        <w:t>Qualification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Director is required to hold any shares of the Company. </w:t>
      </w:r>
    </w:p>
    <w:p>
      <w:pPr>
        <w:pStyle w:val="TextBody"/>
        <w:bidi w:val="0"/>
        <w:spacing w:before="360" w:after="283"/>
        <w:jc w:val="both"/>
        <w:rPr>
          <w:rFonts w:ascii="Times New Roman" w:hAnsi="Times New Roman"/>
          <w:sz w:val="20"/>
        </w:rPr>
      </w:pPr>
      <w:r>
        <w:rPr>
          <w:rFonts w:ascii="Times New Roman" w:hAnsi="Times New Roman"/>
          <w:b/>
          <w:color w:val="000000"/>
          <w:sz w:val="20"/>
        </w:rPr>
        <w:t>Rights of Holders of Shares of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holders of shares of our common stock shall: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entitled, on a show of hands, to one vote and, on a poll, to one vote per share;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entitled to such dividends as the Board of Directors of the Company may from time to time declare;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a winding-up or dissolution of the Company, whether voluntary or involuntary or for the purpose of the reorganization or otherwise or upon any distribution of capital, be entitled to a return of the amount paid up on the common stock and thereafter to the surplus assets of the Company;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be entitled to enjoy all the rights attaching to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unclaimed dividends or distributions out of contributed surplus account may be invested or otherwise made use of by the Board of Directors of the Company for the benefit of the Company until claimed and the payment of any such dividend or distribution into a separate account or the investment of such dividend shall not constitute the Company a trustee in respect thereof. No dividend or distribution shall bear interest against the Company. Any dividend or distribution which has remained unclaimed for a period of 12 years from the due date for payment thereof shall at the expiration of that period be forfeited and shall belong to the Company absolutely. </w:t>
      </w:r>
    </w:p>
    <w:p>
      <w:pPr>
        <w:pStyle w:val="TextBody"/>
        <w:bidi w:val="0"/>
        <w:spacing w:before="360" w:after="283"/>
        <w:jc w:val="both"/>
        <w:rPr>
          <w:rFonts w:ascii="Times New Roman" w:hAnsi="Times New Roman"/>
          <w:sz w:val="20"/>
        </w:rPr>
      </w:pPr>
      <w:r>
        <w:rPr>
          <w:rFonts w:ascii="Times New Roman" w:hAnsi="Times New Roman"/>
          <w:b/>
          <w:color w:val="000000"/>
          <w:sz w:val="20"/>
        </w:rPr>
        <w:t>Rights of Holder of the Special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 of the special share shall be entitled to the following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elect six Directors of the Company and to remove Directors so appointed;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shareholder resolution, whether ordinary or special resolution, may be passed without the affirmative vote of the holder of the special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holder of the Special Share shall not be entitled to any other rights or to any dividends and in the event of a winding up or dissolution of the Company, the holder of the special share shall be entitled only to a return of the amount paid up on the special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special share is not transferable except to Hong Leong Asia and its affiliates or to China Everbright Holdings and its affiliates. The special share shall cease to carry any rights in the event that, if Hong Leong Asia and its affiliates own the special share, Hong Leong Asia and its affiliates cease to own, directly or indirectly, at least 7,290,000 shares of our common stock (or such equivalent number upon a consolidation or subdivision of shares of our common stock), or if China Everbright Holdings and its affiliates own the special share, China Everbright Holdings and its affiliates cease to own, directly or indirectly, at least 6,570,000 shares of our common stock (or such equivalent number upon a consolidation or subdivision of shares of our common stock). For more details, see “Item 7. Major Shareholders and Related Party Transactions — A. Major Shareholders — The Special Share.” </w:t>
      </w:r>
    </w:p>
    <w:p>
      <w:pPr>
        <w:pStyle w:val="TextBody"/>
        <w:bidi w:val="0"/>
        <w:spacing w:before="360" w:after="283"/>
        <w:jc w:val="both"/>
        <w:rPr>
          <w:rFonts w:ascii="Times New Roman" w:hAnsi="Times New Roman"/>
          <w:sz w:val="20"/>
        </w:rPr>
      </w:pPr>
      <w:r>
        <w:rPr>
          <w:rFonts w:ascii="Times New Roman" w:hAnsi="Times New Roman"/>
          <w:b/>
          <w:color w:val="000000"/>
          <w:sz w:val="20"/>
        </w:rPr>
        <w:t>Modification of Shareholders’ Rights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rights attached to any class of shares (unless otherwise provided by the terms of issue of the shares of that class) may be varied, modified or abrogated with the consent in writing of the holders of not less than three-fourths of the issued shares of that class or with the sanction of an ordinary resolution passed at a separate general meeting of the holders of the shares of the class. 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hAnsi="Times New Roman"/>
          <w:i/>
          <w:color w:val="000000"/>
          <w:sz w:val="20"/>
        </w:rPr>
        <w:t>pari passu</w:t>
      </w:r>
      <w:r>
        <w:rPr>
          <w:rFonts w:ascii="Times New Roman" w:hAnsi="Times New Roman"/>
          <w:color w:val="000000"/>
          <w:sz w:val="20"/>
        </w:rPr>
        <w:t xml:space="preserve"> therewith.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Annual General and Special General Meetings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must hold an annual general meeting each year. Our Directors decide where and when it will be held. Not more than fifteen months may elapse between the date of one annual general meeting and the next. At least 14 clear days’ written notice must be given for every annual general meeting and for every special general meeting. The notice for any annual general meeting must state the date, place and time at which the meeting is to be held, and the business to be conducted at the meeting, including, if applicable, any election of Directors. The notice for any special general meeting must state the time, place and the general nature of the business to be considered at the meeting and shall state that a shareholder entitled to attend and vote is entitled to appoint one or more proxies to attend and vote instead of him. In the case of a meeting convened for passing a special resolution, the notice shall specify the intention to propose the resolution as a special resolution.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Shareholders holding not less than one-tenth in value of the paid up share capital of the Company and having the right to attend and vote at general meetings of the Company shall have the right, by written request to the Chairman or President (as applicable), Deputy Chairman or Vice President (as applicable) or Secretary of the Company, to require that a special general meeting be convened by the Directors for the transaction of any business specified in the request. Such meeting shall be held within two months after the request has been made. If within 21 days of such deposit of the request, the Board fails to convene the meeting, such shareholders may convene the meeting themselves in accordance with Section 74(3) of the Companies Act 1981 of Bermuda.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Limitations on Rights to Own Our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no limitations under Bermuda law or our Memorandum of Association and Bye-Laws on the rights of non-Bermudians or non-residents of Bermuda who are shareholders of the Company to hold or vote their shares.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exempt from the provisions of the Bermuda Companies Act which restrict the percentage of issued share capital that may be held by non-Bermudians, but as an exempted company we may not participate in certain business transactions, including carrying on business of any kind or type whatsoever in Bermuda either alone or in partnership or otherwise except, </w:t>
      </w:r>
      <w:r>
        <w:rPr>
          <w:rFonts w:ascii="Times New Roman" w:hAnsi="Times New Roman"/>
          <w:i/>
          <w:color w:val="000000"/>
          <w:sz w:val="20"/>
        </w:rPr>
        <w:t>inter alia</w:t>
      </w:r>
      <w:r>
        <w:rPr>
          <w:rFonts w:ascii="Times New Roman" w:hAnsi="Times New Roman"/>
          <w:color w:val="000000"/>
          <w:sz w:val="20"/>
        </w:rPr>
        <w:t xml:space="preserve">, carrying on business with persons outside Bermuda, in furtherance of the business of the Company carried on outside Bermuda or under a license granted by the Minister of Finance of Bermuda.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accordance with our Bye-Laws, share certificates are only issued to members of the Company (i.e., persons registered in the register of members as holders of shares in the Company). We are not bound to see to the execution of any trust, whether express, implied or constructive, to which any of our shares are subject and whether or not we had notice of such trust.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Exchange Controls </w:t>
      </w:r>
    </w:p>
    <w:p>
      <w:pPr>
        <w:pStyle w:val="TextBody"/>
        <w:bidi w:val="0"/>
        <w:spacing w:before="120" w:after="283"/>
        <w:jc w:val="both"/>
        <w:rPr>
          <w:rFonts w:ascii="Times New Roman" w:hAnsi="Times New Roman"/>
          <w:sz w:val="20"/>
        </w:rPr>
      </w:pPr>
      <w:r>
        <w:rPr>
          <w:rFonts w:ascii="Times New Roman" w:hAnsi="Times New Roman"/>
          <w:b/>
          <w:color w:val="000000"/>
          <w:sz w:val="20"/>
        </w:rPr>
        <w:t>Bermuda Exchange Controls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been designated as a non-resident of Bermuda for exchange control purposes by the Bermuda Monetary Authority. Because we have been designated as a non-resident for Bermuda exchange control purposes, there are no restrictions on our ability to transfer funds in and out of Bermuda or to pay dividends to United States residents who are holders of the shares of common stock, other than in respect of local Bermuda currency. </w:t>
      </w:r>
    </w:p>
    <w:p>
      <w:pPr>
        <w:pStyle w:val="TextBody"/>
        <w:bidi w:val="0"/>
        <w:spacing w:before="360" w:after="283"/>
        <w:jc w:val="both"/>
        <w:rPr>
          <w:rFonts w:ascii="Times New Roman" w:hAnsi="Times New Roman"/>
          <w:sz w:val="20"/>
        </w:rPr>
      </w:pPr>
      <w:r>
        <w:rPr>
          <w:rFonts w:ascii="Times New Roman" w:hAnsi="Times New Roman"/>
          <w:b/>
          <w:color w:val="000000"/>
          <w:sz w:val="20"/>
        </w:rPr>
        <w:t>China Exchange Controls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from January 1, 1994, a unitary exchange rate system for the conversion between Renminbi and the foreign currencies was introduced in China, and accordingly, the China Foreign Exchange Trading System, or CFETS, inter-bank foreign exchange market was established. Under the unitary foreign exchange system, PBOC sets daily exchange rates, or the PBOC Rates, for conversion of Renminbi into US dollar and other currencies based on the CFETS interbank market rates, and the Bank of China and other authorized banks may engage in foreign exchange transactions at rates that vary within a prescribed range above or below PBOC Rates.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as an FIE, is permitted to retain its foreign currency earnings and maintain foreign currency accounts at designated foreign exchange banks. However, there can be no assurance that the current authorizations for FIEs to retain their foreign exchange to satisfy foreign exchange liabilities in the future will not be limited or eliminated or that Yuchai will be able to obtain sufficient foreign exchange to satisfy their foreign exchange requirements. Foreign exchange transactions under the capital account and the foreign debt account continue to be subject to limitations and require registrations with the reviews from the designated foreign exchange banks and SAFE, which could affect the ability of Yuchai to obtain foreign exchange through debt or equity financing, including by means of loans or capital contributions from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of shortages of foreign currencies, Yuchai may be unable to convert sufficient Renminbi into foreign currency to meet its foreign currency obligations or to pay dividends in foreign currency. Yuchai requires foreign currency to purchase a substantial portion of the manufacturing equipment required for the planned expansion of its manufacturing facilities and to meet foreign currency-denominated debt payment obligations. Yuchai will also require foreign currency for payment of its imported engine components.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value of the Renminbi is subject to changes in Chinese government policies and to international economic and political developments. In recent years, there have been periods of volatility of the exchange rate between Renminbi and the US dollar. By comparing the currency exchange rate of the US dollar against Renminbi, which was 7.1884 as of December 31, 2024 and 6.9228 as of February 27, 2026, respectively, the Renminbi appreciated about 3.7% against the US dollar with the average exchange rate of 7.1230. It is difficult to predict how market forces or government policy may impact the exchange rate between the Renminbi and the US dollar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PRC authorities, including SAFE, POBC and NDRC, have introduced a series of reforms to simplify foreign administration. Key measures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13, 2015, SAFE issued the Notice on Further Simplifying and Improving the Foreign Exchange Administration Policies on Direct Investments (“Notice 13”), which became effective on June 1, 2015. According to Notice 13, the banks are designated to directly review and deal with the foreign exchange registration for foreign direct investment in China Mainland and outbound direct investment. SAFE shall supervise the registration activities indirectly through banks. Certain operating procedures for direct investments are also simplified.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30, 2015, SAFE issued the Notice on Reforming the Administrative Approach Regarding the Settlement of the Foreign Exchange Capitals of Foreign-invested Enterprises (“Notice 19”), which took effect on June 1, 2015. According to Notice 19, an ordinary FIE such as Yuchai, may make the equity investment by transferring the Renminbi converted from capital contribution in foreign currency (“Converted Renminbi”) to the Account for Foreign Exchange Settlement Pending Payment opened by the invested enterprise.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9, 2016, SAFE issued the Notice of the State Administration of Foreign Exchange on Reforming and Standardizing the Administrative Provisions on Capital Account Foreign Exchange Settlement (“Notice 16”), which became effective on the same day. Pursuant to Notice 16, domestic institutions (FIEs included) may voluntarily settle 100% (the percentage is subject to adjustment by SAFE) of their foreign exchange earnings under capital account (including capitals contribution in foreign currency and foreign debts, etc.) to the Account for Foreign Exchange Settlement Pending Payment based on actual needs under the permitted business scope. Notice 16 further loosens up the restrictions imposed on the use of Converted Renminbi. According to Notice 16, the Converted Renminbi can be used for providing loans to affiliated enterprises of FIEs.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12, 2017, PBOC issued the Notice of People’s Bank of China on Matters Concerning Macro-Prudential Management on All-round Cross-border Financing (“Notice 9”), which took effect on the same day. According to Notice 9, the domestic entities (other than FIEs) can borrow foreign debts without the pre-approval of SAFE as well as the quota for foreign debts of domestic entities shall be calculated by reference to the annul net asset, outstanding foreign debts, and the other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26, 2017, SAFE promulgated the Notice of State Administration of Foreign Exchange on Improving the Inspection of Authenticity and Compliance to Further Promote Foreign Exchange Control (“Notice 3”), which became effective on the same day. The principle of Notice 3 is to encourage capital inflow. Under Notice 3, the debtor may directly or indirectly repatriate the funds under guarantee for use domestically by way of domestic borrowing or equity investment, or by other means. Notice 3 emphasizes on the policy of profit remittance of FIEs. To process outbound remittance of profits in an amount equivalent to or above USD 50,000 for an FIE, the bank shall examine several documents to assure the authenticity of the profit distribution. An FIE shall use the profit to first make up the losses suffered in the previous years prior to remitting the profits overseas.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October 23, 2019, SAFE promulgated the Notice of the State Administration of Foreign Exchange on Further Facilitating Cross-border Trade and Investment, which canceled the restriction on the domestic equity investment by non-investment foreign-funded enterprises with their capital funds. Subject to the requirements as set forth in the Foreign Investment Negative List and the authenticity and compliance with the regulations of domestic investment projects, as well as other requirements regulating foreign investment, non-investment foreign-funded enterprises now are allowed to lawfully make domestic equity investments by using their capital.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10, 2020, SAFE promulgated the Notice by the State Administration of Foreign Exchange of Optimizing Foreign Exchange Administration to Support Foreign Business Development, which further clarified that eligible enterprises are allowed to use revenues under their capital accounts, such as capital funds and foreign debts, for payment in China without providing banks with materials to certify the authenticity of the transaction-by-transaction basis in advance, provided that such funds shall be used in compliance with the laws and regulations regarding the use for revenues under the capital accounts.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5, 2023, NDRC promulgated the Administrative Measures for Examination and Registration of Medium and Long-term Foreign Debts of Enterprises, pursuant to which any foreign debt provided by foreign entities to PRC entities or the overseas enterprises or branches controlled by the PRC entities with a term of more than one year must complete the formalities of examination and registration with NDRC.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12, 2025, SAFE promulgated the Notice on Deepening Reforms to Foreign Exchange Administration for Cross-border Investment and Financing (“Notice 43”), which became effective on the same day. Notice 43 removes the foreign exchange registration requirement for domestic reinvestment by FIEs. It also allows FIEs to reinvest in China using their foreign exchange profits legitimately generated within China.</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Taxation</w:t>
      </w:r>
    </w:p>
    <w:p>
      <w:pPr>
        <w:pStyle w:val="TextBody"/>
        <w:bidi w:val="0"/>
        <w:spacing w:before="120" w:after="283"/>
        <w:jc w:val="both"/>
        <w:rPr>
          <w:rFonts w:ascii="Times New Roman" w:hAnsi="Times New Roman"/>
          <w:sz w:val="20"/>
        </w:rPr>
      </w:pPr>
      <w:r>
        <w:rPr>
          <w:rFonts w:ascii="Times New Roman" w:hAnsi="Times New Roman"/>
          <w:b/>
          <w:color w:val="000000"/>
          <w:sz w:val="20"/>
        </w:rPr>
        <w:t>Bermuda Taxation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no Bermuda profits tax, withholding tax, capital gains tax, capital transfer tax, estate duty or inheritance tax payable by shareholders of the Company other than by shareholders ordinarily resident in Bermuda. Bermuda enacted the Corporate Income Tax Act 2023 on December 27, 2023 (the “CIT Act”). Entities subject to tax under the CIT Act are the Bermuda constituent entities of multi-national groups. A multi-national group is defined under the CIT Act as a group with entities in more than one jurisdiction with consolidated revenues of at least EUR750 million for two out of the four previous fiscal years. A Bermuda entity that is tax resident in another jurisdiction under the laws of that jurisdiction based on its location of management and control is not a Bermuda constituent entity. If a Bermuda constituent entity of a multi-national group is subject to tax under the CIT Act, such tax is charged at a rate of 15% of the net taxable income of such constituent entity as determined in accordance with and subject to the adjustments set out in the CIT Act (including in respect of foreign tax credits applicable to the Bermuda constituent entity). No tax is chargeable under the CIT Act until tax years starting on or after January 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obtained from the Minister of Finance of Bermuda under the Exempted Undertakings Tax Protection Act 1966, as amended, an assurance that, in the event that any legislation is enacted in Bermuda imposing any tax computed on profits or income, or computed on any capital asset, gain or appreciation, or any tax in the nature of estate duty or inheritance tax, the imposition of such tax shall not be applicable to the Company or to any of its operations, shares, debentures or other obligations of the Company until March 31, 2035, except insofar as such tax or duty applies to persons ordinarily resident in Bermuda or is payable by the Company in respect of real property owned by or leased or let to the Company in Bermuda. Any liability for tax of a Bermuda constituent entity in scope of the CIT Act shall apply notwithstanding the assurance given to such entity pursuant to the Exempted Undertakings Tax Protection Act 1966.</w:t>
      </w:r>
    </w:p>
    <w:p>
      <w:pPr>
        <w:pStyle w:val="TextBody"/>
        <w:bidi w:val="0"/>
        <w:spacing w:before="360" w:after="283"/>
        <w:jc w:val="both"/>
        <w:rPr>
          <w:rFonts w:ascii="Times New Roman" w:hAnsi="Times New Roman"/>
          <w:sz w:val="20"/>
        </w:rPr>
      </w:pPr>
      <w:r>
        <w:rPr>
          <w:rFonts w:ascii="Times New Roman" w:hAnsi="Times New Roman"/>
          <w:b/>
          <w:color w:val="000000"/>
          <w:sz w:val="20"/>
        </w:rPr>
        <w:t>Singapore Taxation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Dividends or Other Distributions with Respect to Ordinary Shares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one-tier corporate tax system which currently applies to all Singapore tax resident companies, tax on corporate profits is final, and dividends paid by a Singapore tax resident company are not subject to withholding tax and will be tax exempt in the hands of a shareholder, whether or not the shareholder is a company or an individual and whether or not the shareholder is a Singapore tax resident.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 Gains upon Disposition of Ordinary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Singapore tax laws, there is no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if they arise from activities which the Inland Revenue Authority of Singapore regards as the carrying on of a trade or business in Singapore. However, under Section 13W of the Income Tax Act 1947, any gains derived by a divesting company from its disposal of ordinary shares in an investee company between June 1, 2012 and December 31, 2025 are generally not taxable if immediately prior to the date of the relevant disposal, the investing company has held at least 20% of the ordinary shares in the investee company for a continuous period of at least 24 months (“safe harbor rule”). With effect from January 1, 2026, the scope of eligible gains has been expanded to include gains from the disposal of qualifying preference shares. In addition, the 20% shareholding condition may be satisfied on a group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Separately, under Section 10L of the Income Tax Act 1947, gains received in Singapore by an entity of a relevant group from the sale or disposal of a foreign asset (which include shares issued by a company that is incorporated outside Singapore) on or after January 1, 2024 will be treated as income chargeable to tax where certain conditions are met.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Goods and Services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issue or transfer of ownership of our ordinary shares should be exempt from Singapore Goods and Services Tax, or GST. Hence, the holders would not incur any GST on the subscription or subsequent transfer of the shares. </w:t>
      </w:r>
    </w:p>
    <w:p>
      <w:pPr>
        <w:pStyle w:val="TextBody"/>
        <w:bidi w:val="0"/>
        <w:spacing w:before="360" w:after="283"/>
        <w:jc w:val="both"/>
        <w:rPr>
          <w:rFonts w:ascii="Times New Roman" w:hAnsi="Times New Roman"/>
          <w:sz w:val="20"/>
        </w:rPr>
      </w:pPr>
      <w:r>
        <w:rPr>
          <w:rFonts w:ascii="Times New Roman" w:hAnsi="Times New Roman"/>
          <w:b/>
          <w:color w:val="000000"/>
          <w:sz w:val="20"/>
        </w:rPr>
        <w:t>People’s Republic of China Taxation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discussion summarizes the taxes applicable to the Company’s investment in Yuchai and applicable to Yuchai under the Chinese law. </w:t>
      </w:r>
    </w:p>
    <w:p>
      <w:pPr>
        <w:pStyle w:val="TextBody"/>
        <w:bidi w:val="0"/>
        <w:spacing w:before="360" w:after="283"/>
        <w:jc w:val="both"/>
        <w:rPr>
          <w:rFonts w:ascii="Times New Roman" w:hAnsi="Times New Roman"/>
          <w:sz w:val="20"/>
        </w:rPr>
      </w:pPr>
      <w:r>
        <w:rPr>
          <w:rFonts w:ascii="Times New Roman" w:hAnsi="Times New Roman"/>
          <w:b/>
          <w:i/>
          <w:color w:val="000000"/>
          <w:sz w:val="20"/>
        </w:rPr>
        <w:t>Taxation of Dividends from Yuchai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2007, the PRC National People’s Congress adopted a new tax law, China Unified Enterprise Income Tax Law (the “CIT Law”), which became effective on January 1, 2008 and was amended by the Standing Committee of the National People’s Congress on December 29, 2018. The State Council adopted the related implementation rules on December 6, 2007 which were amended on April 23, 2019 and further amended on December 6, 2024. In accordance with the CIT Law and its implementation rules, dividends derived from the revenues accumulated from January 1, 2008 and are paid by PRC companies to non-resident enterprises are generally subject to a PRC withholding tax levied at a rate of 10% unless exempted or reduced pursuant to an applicable double-taxation treaty or other exemptions. Dividends paid by PRC companies to resident enterprises, including enterprises established under the laws of non-PRC jurisdictions but whose “de facto management body” is located in the PRC, are not subject to any PRC withholding tax, unless the dividends are derived from the publicly traded shares which have not been held continuously by the resident enterprises for twelve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20, 2009, the State Administration of Taxation promulgated the Notice on Relevant Issues of Implementing Dividend Clauses under Tax Treaties, or the Notice. According to the Notice, the transaction or arrangement, the major purpose for which is to obtain preferential tax treatment, shall not justify the application of preferential treatment stipulated in dividend clauses under tax treaties. Should the tax payer improperly enjoy the treatment under tax treaties as a result of such transaction or arrangement, the tax authorities in charge shall have the right to adjust. We have recognized a provision for withholding tax payable for profits accumulated after December 31, 2007 for the earnings that we do not plan to indefinitely reinvest in the PRC enterprises. </w:t>
      </w:r>
    </w:p>
    <w:p>
      <w:pPr>
        <w:pStyle w:val="TextBody"/>
        <w:bidi w:val="0"/>
        <w:spacing w:before="360" w:after="283"/>
        <w:jc w:val="both"/>
        <w:rPr>
          <w:rFonts w:ascii="Times New Roman" w:hAnsi="Times New Roman"/>
          <w:sz w:val="20"/>
        </w:rPr>
      </w:pPr>
      <w:r>
        <w:rPr>
          <w:rFonts w:ascii="Times New Roman" w:hAnsi="Times New Roman"/>
          <w:b/>
          <w:i/>
          <w:color w:val="000000"/>
          <w:sz w:val="20"/>
        </w:rPr>
        <w:t>Taxation of Disposition of Yuchai Shares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the Company, through its subsidiaries, transfers any of its current holding of the Yuchai Shares, the amount received in excess of its original capital contribution would be subject to Chinese withholding tax at a rate of 10%.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that Yuchai is liquidated, the portion of the balance of its net assets or remaining property, after deducting undistributed profits, various funds and liquidation expenses, that exceeds Yuchai’s paid-in capital would be subject to withholding tax at a rate of 10%.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3, 2015, the Chinese State Administration of Taxation issued the Circular on Several Issues Concerning the Enterprise Income Tax on Indirect Property Transfer by Non-Resident Enterprises (“Circular 7”), which became effective on the same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17, 2017, the Chinese State Administration of Taxation issued the Announcement of the State Administration of Taxation on Issues Concerning the Withholding of Non-resident Enterprise Income Tax at Source (the “Announcement 37”), certain provision was repealed and Subsection 2 of Section 8 of Circular 7 was repealed.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Announcement 37 and the Circular 7, the parties involved in the indirect transfer of Chinese taxable properties and the Chinese resident enterprises whose equity is transferred indirectly may report the equity transfer matters to the competent tax authority and shall provide certain documents and materials including but not limited to, equity transfer contract or agreement, enterprise’s equity structure prior to and after the equity transfer, the financial and accounting statements in the previous two years of the enterprises abroad and their subordinate enterprises who directly or indirectly hold Chinese taxable properties. The competent tax authority may also require the parties involved in and planning for the indirect transfer of Chinese taxable properties and the Chinese resident enterprises whose equity is transferred indirectly to provide the aforementioned materials and other relevant materials.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Income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2007, the National People’s Congress approved and promulgated the CIT Law, which became effective from January 1, 2008 and was further amended on December 29, 2018. Under the CIT Law, foreign invested enterprises and domestic companies are subject to a uniform corporate tax rate of 25% but Yuchai may continue to enjoy the reduced corporate tax rate of 15% if it qualifies under the High Technology Incentive Scheme or the Western Development Incentive Scheme.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High Technology Incentive was introduced in 2008. Companies that are high technology companies who must fulfill certain criteria and upon approval enjoy a reduced corporate tax rate of 15%. The reduced corporate tax rate took effect from January 1, 2008. Yuchai has applied to tax authorities to qualify under this scheme every 3 years since 2011 and was certified as a high technology company with effect from 2011 to 2025. Yuchai filed its corporate tax returns under the High Technology Incentive Scheme from 2015 to 2024 and will file its corporate tax return under this scheme for 2025 in mid-2026.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Western Development Incentive Scheme was first introduced in 2001 to encourage investment in the Western region of China. Companies operating in the Western region who fulfill certain criteria and upon approval enjoy a reduced corporate tax rate of 15%. This scheme was first applicable from 2001 to 2010. In 2011, the scheme was extended to 2020, and further extended to December 2030 with effective from January 1, 2021. Yuchai filed its corporate tax returns under this scheme from 2008 to 2014. According to latest published catalogue of qualifying industries for the Western Development Incentive Scheme, MGP and Sky Cloud filed their corporate tax return under this scheme for 2022 and 2023. In 2024, MGP obtained the certification of the high technology company, and filed its corporate tax return under High Technology Incentive Scheme for 2024 and will file its corporate tax return under this scheme for 2025 in mid-2026. Sky Cloud will continue to file its corporate tax return under Western Development Incentive Scheme.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China tax bureau periodically conduct tax examinations. Any adverse findings in tax examinations or change in the tax legislation in China could have adverse impact on our consolidated financial conditions or results of operations. Furthermore, pursuant to the CIT Law, if an enterprise incorporated outside the PRC has its “de facto management organization” located within the PRC in accordance with the CIT, such enterprise may be recognized as a PRC tax resident enterprise and thus may be subject to enterprise income tax at the rate of 25% on their worldwide income. The Implementation Rules specify that a “de facto management organization” means an organization that exercises material and full management and control over matters including the enterprise’s production and operations, personnel, finance and property. Although the Implementation Rules provide a definition of “de facto management organization”, such definition has not been tested and there remains uncertainty as to when a non-PRC enterprise’s “de facto management organization” is considered to be located in the PRC. If we or any of our subsidiaries registered outside China are treated as “China tax resident enterprise” under the CIT Law, our income tax expenses may increase and our profitability could be impacted. </w:t>
      </w:r>
    </w:p>
    <w:p>
      <w:pPr>
        <w:pStyle w:val="TextBody"/>
        <w:bidi w:val="0"/>
        <w:spacing w:before="360" w:after="283"/>
        <w:jc w:val="both"/>
        <w:rPr>
          <w:rFonts w:ascii="Times New Roman" w:hAnsi="Times New Roman"/>
          <w:sz w:val="20"/>
        </w:rPr>
      </w:pPr>
      <w:r>
        <w:rPr>
          <w:rFonts w:ascii="Times New Roman" w:hAnsi="Times New Roman"/>
          <w:b/>
          <w:i/>
          <w:color w:val="000000"/>
          <w:sz w:val="20"/>
        </w:rPr>
        <w:t>Withholding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October 17, 2017, the Chinese State Administration of Taxation issued the Announcement 37 (as defined above), which became effective on December 1, 2017 and was further amended on June 15, 2018 pursuant to the Announcement of the State Administration of Taxation on Amending Certain Taxation Regulatory Documents.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accordance with the CIT Law and the Announcement 37, if a non-resident enterprise obtains the income originating from the PRC, or the taxable income, including equity investment income such as dividend and bonus, interest, rental and royalty income, income from property transfer and other income, the payable enterprise income tax on the taxable income shall be withheld at the source by the enterprise or individual who is directly obligated to make relevant payment to the non-resident enterprise under relevant laws or contracts, or the withholding agent.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withholding agent shall declare and pay the withheld tax to the competent tax authority in the place where such withholding agent is located within 7 days from the date of occurrence of the withholding obligation. Where the income obtained by the withholding agent and required to be withheld at source is in the form of dividends, extra dividends or any other equity investment gains, the date of occurrence of the obligation for withholding relevant payable tax is the date of actual payment of the dividends, extra dividends or other equity investment gains. Where the non-resident enterprise receives in installments the income subject to withholding of tax at the source from the same transfer of property, the amount received thereby in installments can be deemed as the recovered cost of the property invested previously and the withholding tax shall be calculated and paid after the recovery of the cost in full.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withholding agent shall complete the Form of Report on Withholding of Enterprise Income Tax of the People’s Republic of China in declaration and payment of the tax required to be withheld. The withholding agent may submit relevant declaration materials before declaration and payment of the tax required to be withheld and such materials shall not be submitted repetitively in declaration.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that a non-resident enterprise fails to file and pay the withheld tax in the manner or within the timeframe required, it will be ordered by the tax authority to pay the withhold tax within a limited period of time. </w:t>
      </w:r>
    </w:p>
    <w:p>
      <w:pPr>
        <w:pStyle w:val="TextBody"/>
        <w:bidi w:val="0"/>
        <w:spacing w:before="360" w:after="283"/>
        <w:jc w:val="both"/>
        <w:rPr>
          <w:rFonts w:ascii="Times New Roman" w:hAnsi="Times New Roman"/>
          <w:sz w:val="20"/>
        </w:rPr>
      </w:pPr>
      <w:r>
        <w:rPr>
          <w:rFonts w:ascii="Times New Roman" w:hAnsi="Times New Roman"/>
          <w:b/>
          <w:i/>
          <w:color w:val="000000"/>
          <w:sz w:val="20"/>
        </w:rPr>
        <w:t>Value-Added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Chinese income tax, Yuchai is subject to valued added tax, or the VAT. The Value-Added Tax Law of the People’s Republic of China, promulgated on December 25, 2024, and effective from January 1, 2026, requires that all entities and individuals that sell goods, services, intangible assets, or real property within the territory of the PRC, or import goods, are VAT taxpayers and shall pay VAT in accordance with the law. Pursuant to Article 10 of the Value-Added Tax Law, the standard VAT rate in China is 13%. A preferential rate of 9% applies to key sectors such as transportation, postal services, basic telecommunications, construction, real estate leasing services, the sale of real estate, and the transfer of land-use rights, as well as to specific goods vital to people’s livelihood, such as agricultural products and agricultural machinery. The supply of services and intangible assets is generally subject to a 6% rate. </w:t>
      </w:r>
    </w:p>
    <w:p>
      <w:pPr>
        <w:pStyle w:val="TextBody"/>
        <w:bidi w:val="0"/>
        <w:spacing w:before="360" w:after="283"/>
        <w:jc w:val="both"/>
        <w:rPr>
          <w:rFonts w:ascii="Times New Roman" w:hAnsi="Times New Roman"/>
          <w:sz w:val="20"/>
        </w:rPr>
      </w:pPr>
      <w:r>
        <w:rPr>
          <w:rFonts w:ascii="Times New Roman" w:hAnsi="Times New Roman"/>
          <w:b/>
          <w:color w:val="000000"/>
          <w:sz w:val="20"/>
        </w:rPr>
        <w:t>United States Federal Income Taxation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section describes material United States federal income tax consequences of owning and disposing of our common stock. It applies to a US Holder (as defined below) that holds the common stock as a capital asset for tax purposes. This section does not apply to a US Holder that is a member of a special class of holders subject to special rules,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financial institution,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dealer in securities,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trader in securities that elects to use a mark-to-market method of accounting for its securities holdings,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real estate investment trust,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regulated investment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expatriates,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persons who acquired common stock pursuant to the exercise of any employee share option or otherwise as compensation,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tax-exempt organization,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insurance company,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liable for any alternative minimum tax,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that actually or constructively owns 10% or more of the stock of the Company (by vote or value),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that owns our common stock through a partnership or other pass-through entity or arrangement,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that holds our common stock as part of a straddle or a hedging or conversion transaction,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whose functional currency is not the US dollar,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person subject to special tax accounting rules as a result of any item of gross income with respect to the common stock being taken into account in an applicable financial statement.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section is based on the Internal Revenue Code of 1986, as amended (the “Code”), its legislative history, existing and proposed regulations, published rulings and court decisions, all as currently in effect. These laws are subject to change, possibly on a retroactive basis. There is currently no comprehensive income tax treaty between the United States and Bermuda.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section does not describe any tax consequences arising out of the tax laws of any state, local or non-U.S. jurisdiction, any estate or gift tax consequences or the Medicare tax on certain “net investment income.” If an entity or arrangement that is treated as a partnership for United States federal income tax purposes holds the common stock, the treatment of a partner in the partnership will generally depend on the status of the partner and the activities of the partnership. Partners in such partnerships should consult with their tax advisors.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this discussion, a US Holder is a beneficial owner of our common stock that 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individual who is a citizen or resident of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US domestic corporation (or other entity taxable as a US domestic corporation for United States federal income tax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estate the income of which is subject to United States federal income tax regardless of its source,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trust, if a United States court can exercise primary supervision over the trust’s administration and one or more United States persons are authorized to control all substantial decisions of the trust, or if a valid election is in place to treat the trust as a United States person. </w:t>
      </w:r>
    </w:p>
    <w:p>
      <w:pPr>
        <w:pStyle w:val="TextBody"/>
        <w:bidi w:val="0"/>
        <w:spacing w:before="240" w:after="283"/>
        <w:jc w:val="both"/>
        <w:rPr>
          <w:rFonts w:ascii="Times New Roman" w:hAnsi="Times New Roman"/>
          <w:sz w:val="20"/>
        </w:rPr>
      </w:pPr>
      <w:r>
        <w:rPr>
          <w:rFonts w:ascii="Times New Roman" w:hAnsi="Times New Roman"/>
          <w:i/>
          <w:color w:val="000000"/>
          <w:sz w:val="20"/>
        </w:rPr>
        <w:t>US Holders should consult their tax advisor regarding the United States federal, state and local and other tax consequences of owning and disposing of shares in their particular circumstances.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i/>
          <w:color w:val="000000"/>
          <w:sz w:val="20"/>
        </w:rPr>
        <w:t>Taxation of 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United States federal income tax laws, and subject to the passive foreign investment company (“PFIC”) rules discussed below, US Holders will include in gross income the gross amount of any dividend paid by the Company out of its current or accumulated earnings and profits (as determined for United States federal income tax purposes). The amount of dividends will include any cash distributions and the fair market value of certain stock distributions and distributions of other property. In this regard, if the distribution is at the election of any stockholder, payable either in cash or in shares, the receipt of shares by the US Holders would generally be treated as a taxable distribution in an amount equal to the fair market value of such shares as of the date of the distribution. The dividend is ordinary income that the US Holder must include in income when the dividend is actually or constructively received. The dividend will not be eligible for the dividends-received deduction generally allowed to United States corporations in respect of dividends received from other United States corporations. Distributions in excess of current and accumulated earnings and profits, as determined for United States federal income tax purposes, will be treated as a non-taxable return of capital to the extent of the US Holder’s basis in the shares and thereafter as capital gain. We currently do not, and we do not intend to, calculate our earnings and profits under United States federal income tax principles. Therefore, a US Holder should expect that a distribution will generally be reported as a dividend even if that distribution would otherwise be treated as a non-taxable return of capital or as capital gain under the rules described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non-corporate taxpayers, dividends may be taxed at the lower applicable capital gains rate provided that (1) the common stock is readily tradable on an established securities market in the United States, (2) the Company is not a PFIC (as discussed below) for either the Company’s taxable year in which the dividend was paid or the preceding taxable year, and (3) certain holding period requirements are met. Common stock generally is considered for purposes of clause (1) above to be readily tradable on an established securities market if it is listed on the NYSE. US Holders should consult their tax advisors regarding the availability of the lower rate for dividends paid with respect to the Company’s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foreign tax credit limitation purposes, the dividend will generally constitute foreign source income and will generally be “passive category income.” </w:t>
      </w:r>
    </w:p>
    <w:p>
      <w:pPr>
        <w:pStyle w:val="TextBody"/>
        <w:bidi w:val="0"/>
        <w:spacing w:before="360" w:after="283"/>
        <w:jc w:val="both"/>
        <w:rPr>
          <w:rFonts w:ascii="Times New Roman" w:hAnsi="Times New Roman"/>
          <w:sz w:val="20"/>
        </w:rPr>
      </w:pPr>
      <w:r>
        <w:rPr>
          <w:rFonts w:ascii="Times New Roman" w:hAnsi="Times New Roman"/>
          <w:b/>
          <w:i/>
          <w:color w:val="000000"/>
          <w:sz w:val="20"/>
        </w:rPr>
        <w:t>Sale or Other Disposition of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 to the PFIC rules discussed below, upon the sale or other disposition of shares, a US Holder will recognize capital gain or loss for United States federal income tax purposes equal to the difference between the US Holder’s amount realized and the US Holder’s tax basis in such shares. If a US Holder receives consideration for shares paid in a currency other than the US dollar, the US Holder’s amount realized will be the US dollar value of the payment received. In general, the US dollar value of such a payment will be determined on the date of sale or disposition. On the settlement date, a US Holder may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if the shares are treated as traded on an established securities market and the US Holder is a cash basis taxpayer or an accrual basis taxpayer who has made a special election, the US dollar value of the amount realized in a foreign currency is determined by translating the amount received at the spot rate of exchange on the settlement date of the sale, and no exchange gain or loss would be recognized at that time. Capital gain of a non-corporate US Holder is generally taxed at a reduced rate where the property is held more than one year. The gain or loss will generally be income or loss from sources within the United States for foreign tax credit limitation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PFIC Rules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believes that its shares should not be treated as stock of a PFIC for United States federal income tax purposes for the taxable year that ended on December 31, 2025. However, the application of the PFIC rules is subject to uncertainty in several respects, and we cannot assure you that the United States Internal Revenue Service will not take a contrary position. In addition, PFIC status is a factual determination which cannot be made until the close of the taxable year. Accordingly, there is no guarantee that the Company will not be a PFIC for any future taxable year. Furthermore, because the total value of the Company’s assets for purposes of the asset test generally will be calculated using the market price of the Company’s shares, our PFIC status will depend in large part on the market price of the Company’s shares. Accordingly, fluctuations in the market price of the Company’s shares could render the Company a PFIC for any year. A non-U.S. corporation is considered a PFIC for any taxable year if either: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least 75% of its gross income is passive income,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least 50% of the value of its assets (based on an average of the quarterly values of the assets during a taxable year) is attributable to assets that produce or are held for the production of passive income (the “asset test”).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PFIC determination, the Company will be treated as owning its proportionate share of the assets and earning its proportionate share of the income of any other corporation in which it owns, directly or indirectly, 25% or more (by value) of the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Company were to be treated as a PFIC for any year during the US Holder’s holding period, unless a US Holder elects to be taxed annually on a mark-to-market basis with respect to the shares (which election may be made only if the Company’s shares are “marketable stock” within the meaning of Section 1296 of the Code), a US Holder will be subject to special tax rules with respect to any “excess distribution” received and any gain realized from a sale or other disposition (including a pledge) of that holder’s shares. Distributions a US Holder receives in a taxable year that are greater than 125% of the average annual distributions received during the shorter of the three preceding taxable years or the holder’s holding period for the shares will be treated as excess distributions. Under these special tax rules: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excess distribution or gain will be allocated ratably over the US Holder’s holding period for the shares;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allocated to the current taxable year, and any taxable year prior to the first taxable year in which the Company is treated as a PFIC, will be treated as ordinary income;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allocated to each other year will be subject to tax at the highest tax rate in effect for that year and the interest charge generally applicable to underpayments of tax will be imposed on the resulting tax attributable to each such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tax liability for amounts allocated to years prior to the year of disposition or “excess distribution” cannot be offset by any net operating losses for such years, and gains (but not losses) realized on the sale of the shares cannot be treated as capital, even if the shares are held as capital assets. If the Company were to be treated as a PFIC for any year during which a US Holder holds the shares, the Company generally would continue to be treated as a PFIC with respect to that US Holder for all succeeding years during which it owns the shares. If the Company were to cease to be treated as a PFIC, however, a US Holder may avoid some of the adverse effects of the PFIC regime by making a deemed sale election with respect to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US Holder holds shares in any year in which the Company is a PFIC, that holder will be required to file an annual information report with the United States Internal Revenue Service. </w:t>
      </w:r>
    </w:p>
    <w:p>
      <w:pPr>
        <w:pStyle w:val="TextBody"/>
        <w:bidi w:val="0"/>
        <w:spacing w:before="360" w:after="283"/>
        <w:jc w:val="both"/>
        <w:rPr>
          <w:rFonts w:ascii="Times New Roman" w:hAnsi="Times New Roman"/>
          <w:sz w:val="20"/>
        </w:rPr>
      </w:pPr>
      <w:r>
        <w:rPr>
          <w:rFonts w:ascii="Times New Roman" w:hAnsi="Times New Roman"/>
          <w:b/>
          <w:i/>
          <w:color w:val="000000"/>
          <w:sz w:val="20"/>
        </w:rPr>
        <w:t>Information Reporting and Backup Withholding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payments with respect to our shares and proceeds from the sale, exchange or redemption of our shares may be subject to information reporting to the United States Internal Revenue Service and possible United States backup withholding. Backup withholding will not apply, however, to a US Holder that furnishes a correct taxpayer identification number and makes any other required certification or that is otherwise exempt from backup withholding. US Holders that are required to establish their exempt status generally must provide such certification on United States Internal Revenue Service Form W-9. US Holders should consult their tax advisors regarding the application of the U.S. information reporting and backup withholding rules.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Backup withholding is not an additional tax. Amounts withheld as backup withholding may be credited against your United States federal income tax liability, and you may obtain a refund of any excess amounts withheld under the backup withholding rules by filing the appropriate claim for refund with the United States Internal Revenue Service and furnishing any required information in a timely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Additional Reporting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US Holders who are individuals are required to report information relating to an interest in our shares, subject to certain exceptions. Under certain circumstances, an entity may be treated as an individual for purposes of these rules. US Holders should consult their tax advisors regarding the effect, if any, of this United States federal income tax legislation on their ownership and disposition of our shares.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Global minimum top-up tax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2021, The OECD/G20 Inclusive Framework (“IF”) on Base Erosion and Profit Shifting reached agreement on the reform of international tax rules. This was endorsed by 137 out of 141 IF members and by G20 finance ministers. The OECD has put forth two proposals—Pillar One and Pillar Two—that revise the existing profit allocation and nexus rules (profit allocation based on location of sales versus physical presence) and ensure a minimal level of taxation, respectively. The GloBE Model rules were published by the OECD to implement the Pillar Two rules and commentary to the Pillar Two Model Rules was also released.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Pillar Two GloBE Model Rules apply to multinational enterprise groups, with reported consolidated annual revenue of at least EUR 750 million in at least two of the four financial years preceding the first applicable year to a global minimum effective tax rate of 15%, with mechanism to impose top-up tax on low-taxed income and provide certain safe harbors to simplify compliance. Under the GloBE framework, the effective tax rate is determined on a jurisdiction-by-jurisdiction basis. Where the effective tax rate in a jurisdiction falls below 15%, a top-up tax is calculated and imposed. In addition, the Subject-To-Tax Rule allows source jurisdictions to impose taxing rights on intragroup payments of which the income is taxed in the residence State at a rate lower than 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GloBE Rules under Pillar Two ensure that large multinational 15% tax on profits in each jurisdiction where they operate, with mechanism to top up low taxed income and provide safe harbors for 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Pillar Two legislation has been enacted in Singapore and some of the jurisdictions where the Group operates in. It is effective in Germany for financial years beginning on or after January 1, 2024 and in Singapore, Malaysia, Thailand and Hong Kong for financial years beginning on or after January 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applied a mandatory temporary relief from deferred tax accounting for the impact of the top-up tax and accounts for it as a current tax when it is incurred.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does not expect Pillar Two top-up exposure arising from its operations for the year ended December 31, 2025.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Documents on Display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SEC maintains a website at www.sec.gov/ that contains reports, proxy and information statements and other information regarding registrants that make electronic filings with the SEC using its EDGAR system. As a foreign private issuer, we are required to use the EDGAR system. We have done so in the past and will continue to do so in order to make our reports available through the SEC’s website. In addition, we upload our reports on our website at </w:t>
      </w:r>
      <w:r>
        <w:rPr>
          <w:rFonts w:ascii="Times New Roman" w:hAnsi="Times New Roman"/>
          <w:color w:val="000000"/>
          <w:sz w:val="20"/>
          <w:u w:val="single"/>
        </w:rPr>
        <w:t>www.cyilimited.com</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19" w:name="item_11"/>
      <w:bookmarkEnd w:id="19"/>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11.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market rate risks due to fluctuations in interest rates and foreign currency exchange rates. </w:t>
      </w:r>
    </w:p>
    <w:p>
      <w:pPr>
        <w:pStyle w:val="TextBody"/>
        <w:bidi w:val="0"/>
        <w:spacing w:before="360" w:after="283"/>
        <w:jc w:val="both"/>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exposure of interest rate risk relates to interest-bearing loans and borrowings from banks. Yuchai’s debt consists of both variable and fixed rate short-term, medium-term and long-term Renminbi denominated borrowings. The variable interest rates of loans and borrowings are generally established in accordance with directives announced from time to time by the PBOC, which are in turn affected by various factors such as the general economic conditions in China and the monetary policies of the Chinese government. Information relating to interest-bearing loans and borrowings of the Company are disclosed in Note 27 to our consolidated financial statements in Item 18.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manages its interest rate risk by having a mixture of fixed and variable rates for its deposits and borrowings.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sensitivity analyses below have been determined based on the exposure to interest rates for interest-bearing loans and borrowings from banks at December 31, 2025 and the stipulated change taking place at the beginning of the year and held constant throughout the reporting period in the case of instruments that have floating rates. A 50 basis points increase or decrease is used and represents management’s assessment of the possible change in interest rates.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interest rate had been 50 (2024: 50) basis points higher or lower and all other variables were held constant, the profit before tax for the year ended December 31, 2025 of the Company would decrease/increase by RMB 10.1 million (US$1.5 million) (2024: profit decrease/increase by RMB 12.5 million) arising from interest expenses on interest-bearing loans and borrowings. </w:t>
      </w:r>
    </w:p>
    <w:p>
      <w:pPr>
        <w:pStyle w:val="TextBody"/>
        <w:bidi w:val="0"/>
        <w:spacing w:before="360" w:after="283"/>
        <w:jc w:val="both"/>
        <w:rPr>
          <w:rFonts w:ascii="Times New Roman" w:hAnsi="Times New Roman"/>
          <w:sz w:val="20"/>
        </w:rPr>
      </w:pPr>
      <w:r>
        <w:rPr>
          <w:rFonts w:ascii="Times New Roman" w:hAnsi="Times New Roman"/>
          <w:b/>
          <w:i/>
          <w:color w:val="000000"/>
          <w:sz w:val="20"/>
        </w:rPr>
        <w:t>Foreign currency exchange rate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exposure to foreign currency exchange rate risk primarily relates to cash and bank balances, purchases and sales that are denominated in currencies other than the respective functional currencies of entities within the Group. The currencies giving rise to this risk in fiscal years 2024 and 2025 are primarily Singapore dollar, US dollar and Euro.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currency translation exposure is managed by incurring debt in the operating currency so that where possible operating cash flows can be primarily used to repay obligations in the local currency. This also has the effect of minimizing the exchange differences recorded against income, as the exchange differences on the net investment are recorded directly against equity.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exposures to foreign currency exchange rate risk are as follows: </w:t>
      </w:r>
    </w:p>
    <w:tbl>
      <w:tblPr>
        <w:tblW w:w="6952" w:type="dxa"/>
        <w:jc w:val="left"/>
        <w:tblInd w:w="0" w:type="dxa"/>
        <w:tblLayout w:type="fixed"/>
        <w:tblCellMar>
          <w:top w:w="28" w:type="dxa"/>
          <w:left w:w="28" w:type="dxa"/>
          <w:bottom w:w="28" w:type="dxa"/>
          <w:right w:w="28" w:type="dxa"/>
        </w:tblCellMar>
      </w:tblPr>
      <w:tblGrid>
        <w:gridCol w:w="2356"/>
        <w:gridCol w:w="146"/>
        <w:gridCol w:w="146"/>
        <w:gridCol w:w="781"/>
        <w:gridCol w:w="166"/>
        <w:gridCol w:w="146"/>
        <w:gridCol w:w="146"/>
        <w:gridCol w:w="631"/>
        <w:gridCol w:w="166"/>
        <w:gridCol w:w="146"/>
        <w:gridCol w:w="146"/>
        <w:gridCol w:w="676"/>
        <w:gridCol w:w="166"/>
        <w:gridCol w:w="146"/>
        <w:gridCol w:w="146"/>
        <w:gridCol w:w="631"/>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Singapore</w:t>
              <w:b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302" w:type="dxa"/>
        <w:jc w:val="left"/>
        <w:tblInd w:w="0" w:type="dxa"/>
        <w:tblLayout w:type="fixed"/>
        <w:tblCellMar>
          <w:top w:w="28" w:type="dxa"/>
          <w:left w:w="28" w:type="dxa"/>
          <w:bottom w:w="28" w:type="dxa"/>
          <w:right w:w="28" w:type="dxa"/>
        </w:tblCellMar>
      </w:tblPr>
      <w:tblGrid>
        <w:gridCol w:w="2356"/>
        <w:gridCol w:w="146"/>
        <w:gridCol w:w="146"/>
        <w:gridCol w:w="781"/>
        <w:gridCol w:w="166"/>
        <w:gridCol w:w="146"/>
        <w:gridCol w:w="146"/>
        <w:gridCol w:w="676"/>
        <w:gridCol w:w="166"/>
        <w:gridCol w:w="146"/>
        <w:gridCol w:w="146"/>
        <w:gridCol w:w="676"/>
        <w:gridCol w:w="166"/>
        <w:gridCol w:w="146"/>
        <w:gridCol w:w="146"/>
        <w:gridCol w:w="736"/>
        <w:gridCol w:w="4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Singapore</w:t>
              <w:b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Dollar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10% strengthening of the following major currencies against the functional currency of each of the Company’s entities at the reporting date would increase profit before tax by the amounts shown below. This analysis assumes that all other variables, in particular interest rates, remain constant.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1471"/>
        <w:gridCol w:w="146"/>
        <w:gridCol w:w="146"/>
        <w:gridCol w:w="676"/>
        <w:gridCol w:w="146"/>
        <w:gridCol w:w="146"/>
        <w:gridCol w:w="146"/>
        <w:gridCol w:w="571"/>
        <w:gridCol w:w="146"/>
        <w:gridCol w:w="146"/>
        <w:gridCol w:w="146"/>
        <w:gridCol w:w="57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bookmarkStart w:id="20" w:name="item_12"/>
      <w:bookmarkEnd w:id="20"/>
      <w:r>
        <w:rPr>
          <w:rFonts w:ascii="Times New Roman" w:hAnsi="Times New Roman"/>
          <w:b/>
          <w:color w:val="000000"/>
          <w:sz w:val="20"/>
        </w:rPr>
        <w:t>ITEM 12. DESCRIPTION OF SECURITIES OTHER THAN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21" w:name="item_13"/>
      <w:bookmarkEnd w:id="21"/>
      <w:r>
        <w:rPr>
          <w:rFonts w:ascii="Times New Roman" w:hAnsi="Times New Roman"/>
          <w:b/>
          <w:color w:val="000000"/>
          <w:sz w:val="20"/>
        </w:rPr>
        <w:t>ITEM 13. DEFAULTS, DIVIDEND ARREARAGES AND DELINQUENCIES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matters to report. </w:t>
      </w:r>
    </w:p>
    <w:p>
      <w:pPr>
        <w:pStyle w:val="TextBody"/>
        <w:bidi w:val="0"/>
        <w:spacing w:before="360" w:after="283"/>
        <w:jc w:val="both"/>
        <w:rPr>
          <w:rFonts w:ascii="Times New Roman" w:hAnsi="Times New Roman"/>
          <w:sz w:val="20"/>
        </w:rPr>
      </w:pPr>
      <w:bookmarkStart w:id="22" w:name="item_14"/>
      <w:bookmarkEnd w:id="22"/>
      <w:r>
        <w:rPr>
          <w:rFonts w:ascii="Times New Roman" w:hAnsi="Times New Roman"/>
          <w:b/>
          <w:color w:val="000000"/>
          <w:sz w:val="20"/>
        </w:rPr>
        <w:t>ITEM 14. MATERIAL MODIFICATIONS TO THE RIGHTS OF SECURITY HOLDERS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23" w:name="item_15"/>
      <w:bookmarkEnd w:id="23"/>
      <w:r>
        <w:rPr>
          <w:rFonts w:ascii="Times New Roman" w:hAnsi="Times New Roman"/>
          <w:b/>
          <w:color w:val="000000"/>
          <w:sz w:val="20"/>
        </w:rPr>
        <w:t>ITEM 15.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Disclosure Controls and Procedures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our SEC reports is recorded, processed, summarized and reported within the time periods specified in the SEC’s rules and forms, and that such information is accumulated and communicated to our management, including our President, who is our principal executive officer, and Chief Financial Officer, as appropriate, to allow timely decisions regarding required disclosures. In designing and evaluating the disclosure controls and procedures, management recognized that any controls and procedures, no matter how well designed and operated, can provide only a reasonable level of assurance of achieving the desired control objectives, and, in reaching a reasonable level of assurance, management necessarily was required to apply its judgment in evaluating the cost-benefit relationship of possible controls and procedures.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required by Rule 13a-15(b) under the Exchange Act, we have carried out an evaluation, under the supervision and with the participation of our management, including our President and Chief Financial Officer, of the effectiveness of the design and operation of our disclosure controls and procedures as of the end of the period covered by this Annual Report. Based on such evaluation, our management has concluded that, as of the end of the period covered by this Annual Report, our disclosure controls and procedures were effective.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Management’s Annual Report on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 13a-15(f) under the Exchange Act. Internal control over financial reporting refers to a process designed by, or under the supervision of, our President and Chief Financial Officer and effected by our Board of Directors, management and other personnel, to provide reasonable assurance regarding the reliability of financial reporting and the preparation of financial statements for external purposes in conformity with IFRS Accounting Standards. Internal control over financial reporting includes those policies and procedures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pertain to the maintenance of records that, in reasonable detail, accurately and fairly reflect the transactions and dispositions of our assets;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reasonable assurance that transactions are recorded as necessary to permit preparation of financial statements in accordance with IFRS Accounting Standards;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reasonable assurance that receipts and expenditures are being made only in accordance with our management’s and/or our Board of Directors’ authorization;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reasonable assurance regarding prevention or timely detection of unauthorized acquisition, use, or disposition of our assets that could have a material effect on our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overrides.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evaluated the effectiveness of our internal control over financial reporting as of December 31, 2025 using the criteria in “Internal Control — Integrated Framework” issued by the Committee of Sponsoring Organizations of the Treadway Commission (2013 framework). As a result of management’s evaluation, management concluded that our internal control over financial reporting was effective as of December 31, 2025.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Attestation Report of the Registered Public Accounting Firm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the Company’s internal control over financial reporting as of December 31, 2025 has been attested by Ernst &amp; Young LLP, an independent registered public accounting firm, as stated in their report of this Annual Report on Form 20-F.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Changes in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was no change in the Company’s internal control over financial reporting that occurred during the period covered by this Annual Report that has materially affected, or is reasonably likely to materially affect, the Company’s internal control over financial reporting. </w:t>
      </w:r>
    </w:p>
    <w:p>
      <w:pPr>
        <w:pStyle w:val="TextBody"/>
        <w:bidi w:val="0"/>
        <w:spacing w:before="360" w:after="283"/>
        <w:jc w:val="both"/>
        <w:rPr>
          <w:rFonts w:ascii="Times New Roman" w:hAnsi="Times New Roman"/>
          <w:sz w:val="20"/>
        </w:rPr>
      </w:pPr>
      <w:bookmarkStart w:id="24" w:name="item_16a"/>
      <w:bookmarkEnd w:id="24"/>
      <w:r>
        <w:rPr>
          <w:rFonts w:ascii="Times New Roman" w:hAnsi="Times New Roman"/>
          <w:b/>
          <w:color w:val="000000"/>
          <w:sz w:val="20"/>
        </w:rPr>
        <w:t>ITEM 16A. AUDIT COMMITTEE FINANCIAL EXPERT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Board of Directors has determined that Mr. Xie Tao is an “audit committee financial expert” as defined by current SEC rules. </w:t>
      </w:r>
    </w:p>
    <w:p>
      <w:pPr>
        <w:pStyle w:val="TextBody"/>
        <w:bidi w:val="0"/>
        <w:spacing w:before="360" w:after="283"/>
        <w:jc w:val="both"/>
        <w:rPr>
          <w:rFonts w:ascii="Times New Roman" w:hAnsi="Times New Roman"/>
          <w:sz w:val="20"/>
        </w:rPr>
      </w:pPr>
      <w:bookmarkStart w:id="25" w:name="item_16b"/>
      <w:bookmarkEnd w:id="25"/>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16B. CODE OF ETHICS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adopted a Code of Business Conduct and Ethics Policy in May 2004, which was revised on December 9, 2008, that is applicable to all its directors, senior management and employees. The Code of Business Conduct and Ethics Policy contain general guidelines for conducting the business of the Company. A copy of the Code of Business Conduct and Ethics Policy is posted on our internet website at </w:t>
      </w:r>
      <w:r>
        <w:rPr>
          <w:rFonts w:ascii="Times New Roman" w:hAnsi="Times New Roman"/>
          <w:color w:val="000000"/>
          <w:sz w:val="20"/>
          <w:u w:val="single"/>
        </w:rPr>
        <w:t>http://www.cyilimited.com</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26" w:name="item_16c"/>
      <w:bookmarkEnd w:id="26"/>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16C. PRINCIPAL ACCOUNTANT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total remuneration that was billed to the Company (excluding HLGE) by its independent registered public accounting firm, for each of our previous two fiscal years: </w:t>
      </w:r>
    </w:p>
    <w:p>
      <w:pPr>
        <w:pStyle w:val="TextBody"/>
        <w:bidi w:val="0"/>
        <w:jc w:val="left"/>
        <w:rPr/>
      </w:pPr>
      <w:r>
        <w:rPr/>
        <w:t> </w:t>
      </w:r>
    </w:p>
    <w:tbl>
      <w:tblPr>
        <w:tblW w:w="3792" w:type="dxa"/>
        <w:jc w:val="left"/>
        <w:tblInd w:w="0" w:type="dxa"/>
        <w:tblLayout w:type="fixed"/>
        <w:tblCellMar>
          <w:top w:w="28" w:type="dxa"/>
          <w:left w:w="28" w:type="dxa"/>
          <w:bottom w:w="28" w:type="dxa"/>
          <w:right w:w="28" w:type="dxa"/>
        </w:tblCellMar>
      </w:tblPr>
      <w:tblGrid>
        <w:gridCol w:w="1561"/>
        <w:gridCol w:w="146"/>
        <w:gridCol w:w="676"/>
        <w:gridCol w:w="271"/>
        <w:gridCol w:w="146"/>
        <w:gridCol w:w="676"/>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Notes: </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Represents the audit fees billed to the Company (excluding HLGE) by its independent registered public accounting firm during the fiscal year 2024. The remaining audit fees for the fiscal year 2024 of RMB 7.4 million were billed in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Represents the audit fees billed to the Company (excluding HLGE) by its independent registered public accounting firm during the fiscal year 2025. The remaining audit fees of RMB 6.2 million had not been billed as of February 27, 2026. </w:t>
      </w:r>
    </w:p>
    <w:p>
      <w:pPr>
        <w:pStyle w:val="TextBody"/>
        <w:bidi w:val="0"/>
        <w:spacing w:before="360" w:after="283"/>
        <w:jc w:val="both"/>
        <w:rPr>
          <w:rFonts w:ascii="Times New Roman" w:hAnsi="Times New Roman"/>
          <w:sz w:val="20"/>
        </w:rPr>
      </w:pPr>
      <w:r>
        <w:rPr>
          <w:rFonts w:ascii="Times New Roman" w:hAnsi="Times New Roman"/>
          <w:b/>
          <w:color w:val="000000"/>
          <w:sz w:val="20"/>
        </w:rPr>
        <w:t>Audit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Audit fees consist of professional services relating to the annual audits of consolidated financial statements. </w:t>
      </w:r>
    </w:p>
    <w:p>
      <w:pPr>
        <w:pStyle w:val="TextBody"/>
        <w:bidi w:val="0"/>
        <w:spacing w:before="360" w:after="283"/>
        <w:jc w:val="both"/>
        <w:rPr>
          <w:rFonts w:ascii="Times New Roman" w:hAnsi="Times New Roman"/>
          <w:sz w:val="20"/>
        </w:rPr>
      </w:pPr>
      <w:r>
        <w:rPr>
          <w:rFonts w:ascii="Times New Roman" w:hAnsi="Times New Roman"/>
          <w:b/>
          <w:color w:val="000000"/>
          <w:sz w:val="20"/>
        </w:rPr>
        <w:t>Audit-Related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Audit-related fees primarily consist of professional services relating to MGP’s application for its proposed public listing on the Hong Kong Stock Exchange.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Tax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Tax fees primarily consist of professional services in relation to transfer pricing (Local file and Master file, excluding Country-by-Country Reporting). </w:t>
      </w:r>
    </w:p>
    <w:p>
      <w:pPr>
        <w:pStyle w:val="TextBody"/>
        <w:bidi w:val="0"/>
        <w:spacing w:before="360" w:after="283"/>
        <w:jc w:val="both"/>
        <w:rPr>
          <w:rFonts w:ascii="Times New Roman" w:hAnsi="Times New Roman"/>
          <w:sz w:val="20"/>
        </w:rPr>
      </w:pPr>
      <w:r>
        <w:rPr>
          <w:rFonts w:ascii="Times New Roman" w:hAnsi="Times New Roman"/>
          <w:b/>
          <w:color w:val="000000"/>
          <w:sz w:val="20"/>
        </w:rPr>
        <w:t>All Other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other fees primarily consist of professional service in relation to IFRS Accounting Standards training activities and other advisory services. </w:t>
      </w:r>
    </w:p>
    <w:p>
      <w:pPr>
        <w:pStyle w:val="TextBody"/>
        <w:bidi w:val="0"/>
        <w:spacing w:before="360" w:after="283"/>
        <w:jc w:val="both"/>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Audit Committee pre-approves each engagement of Ernst &amp; Young LLP for audit-related services and certain other services (including tax services) not prohibited under the Sarbanes-Oxley Act of 2002, performed and to be performed for the Company. All audit, audit-related, tax, and other fees described above were approved by the Audit Committee. </w:t>
      </w:r>
    </w:p>
    <w:p>
      <w:pPr>
        <w:pStyle w:val="TextBody"/>
        <w:bidi w:val="0"/>
        <w:spacing w:before="360" w:after="283"/>
        <w:jc w:val="both"/>
        <w:rPr>
          <w:rFonts w:ascii="Times New Roman" w:hAnsi="Times New Roman"/>
          <w:sz w:val="20"/>
        </w:rPr>
      </w:pPr>
      <w:bookmarkStart w:id="27" w:name="item_16d"/>
      <w:bookmarkEnd w:id="27"/>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16D. EXEMPTIONS FROM THE LISTING STANDARDS FOR AUDIT COMMITTEES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28" w:name="item_16e"/>
      <w:bookmarkEnd w:id="28"/>
      <w:r>
        <w:rPr>
          <w:rFonts w:ascii="Times New Roman" w:hAnsi="Times New Roman"/>
          <w:b/>
          <w:color w:val="000000"/>
          <w:sz w:val="20"/>
        </w:rPr>
        <w:t>ITEM 16E. PURCHASES OF EQUITY SECURITIES BY THE ISSUER AND AFFILIATED PURCHASERS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adopted a share buyback plan on June 7, 2024, under which it was authorized to repurchase its ordinary shares up to US$40 million in dollar amount or 4 million in number, whichever occurs earlier. The Company commenced repurchases under the plan in July 2024 and terminated the plan in October 2024. As of the plan termination date of October 31, 2024, the Company had repurchased a total of 3,339,968 shares amounting to US$39.8 million. The following table includes information about repurchases made by us in the fiscal year ended December 31, 2024. There were no purchases made by our affiliated purchasers under the plan during the year. </w:t>
      </w:r>
    </w:p>
    <w:p>
      <w:pPr>
        <w:pStyle w:val="TextBody"/>
        <w:bidi w:val="0"/>
        <w:spacing w:before="120" w:after="283"/>
        <w:jc w:val="both"/>
        <w:rPr/>
      </w:pPr>
      <w:r>
        <w:rPr/>
        <w:t> </w:t>
      </w:r>
    </w:p>
    <w:tbl>
      <w:tblPr>
        <w:tblW w:w="6260" w:type="dxa"/>
        <w:jc w:val="left"/>
        <w:tblInd w:w="0" w:type="dxa"/>
        <w:tblLayout w:type="fixed"/>
        <w:tblCellMar>
          <w:top w:w="28" w:type="dxa"/>
          <w:left w:w="28" w:type="dxa"/>
          <w:bottom w:w="28" w:type="dxa"/>
          <w:right w:w="28" w:type="dxa"/>
        </w:tblCellMar>
      </w:tblPr>
      <w:tblGrid>
        <w:gridCol w:w="1276"/>
        <w:gridCol w:w="146"/>
        <w:gridCol w:w="916"/>
        <w:gridCol w:w="146"/>
        <w:gridCol w:w="1081"/>
        <w:gridCol w:w="146"/>
        <w:gridCol w:w="976"/>
        <w:gridCol w:w="146"/>
        <w:gridCol w:w="1126"/>
        <w:gridCol w:w="3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 value</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 ordinary</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that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may yet be</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purchased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part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under</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publicly</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ordinary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announced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announced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program</w:t>
            </w:r>
            <w:r>
              <w:rPr>
                <w:rFonts w:ascii="Times New Roman" w:hAnsi="Times New Roman"/>
                <w:color w:val="000000"/>
                <w:sz w:val="18"/>
              </w:rPr>
              <w:t> </w:t>
            </w:r>
            <w:r>
              <w:rPr>
                <w:rFonts w:ascii="Times New Roman" w:hAnsi="Times New Roman"/>
                <w:b/>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 million)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July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August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October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3,339,968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3,339,968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Notes: </w:t>
      </w:r>
    </w:p>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5"/>
        </w:rPr>
      </w:pPr>
      <w:r>
        <w:rPr>
          <w:rFonts w:ascii="Times New Roman" w:hAnsi="Times New Roman"/>
          <w:color w:val="000000"/>
          <w:sz w:val="15"/>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Shares repurchased through open-market transactions at prevailing market prices and privately negotiated transactions.</w:t>
      </w:r>
    </w:p>
    <w:p>
      <w:pPr>
        <w:pStyle w:val="TextBody"/>
        <w:bidi w:val="0"/>
        <w:spacing w:before="120" w:after="283"/>
        <w:jc w:val="both"/>
        <w:rPr>
          <w:rFonts w:ascii="Times New Roman" w:hAnsi="Times New Roman"/>
          <w:color w:val="000000"/>
          <w:sz w:val="15"/>
        </w:rPr>
      </w:pPr>
      <w:r>
        <w:rPr>
          <w:rFonts w:ascii="Times New Roman" w:hAnsi="Times New Roman"/>
          <w:color w:val="000000"/>
          <w:sz w:val="15"/>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the Company terminated the shares buyback plan on October 31, 2024, the remaining dollar value and number of shares that were yet be repurchased under the plan were forfeited. </w:t>
      </w:r>
    </w:p>
    <w:p>
      <w:pPr>
        <w:pStyle w:val="TextBody"/>
        <w:bidi w:val="0"/>
        <w:spacing w:before="360" w:after="283"/>
        <w:jc w:val="both"/>
        <w:rPr>
          <w:rFonts w:ascii="Times New Roman" w:hAnsi="Times New Roman"/>
          <w:sz w:val="20"/>
        </w:rPr>
      </w:pPr>
      <w:bookmarkStart w:id="29" w:name="item_16f"/>
      <w:bookmarkEnd w:id="29"/>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16F. CHANGE IN REGISTRANT’S CERTIFYING ACCOUNTANT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bookmarkStart w:id="30" w:name="item_16g"/>
      <w:bookmarkEnd w:id="30"/>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16G. 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our common stock is listed on the NYSE, we are subject to the NYSE listing standards. The NYSE listing standards applicable to us, as a foreign private issuer, are considerably different from those applicable to U.S. companies. Under the NYSE rules, we need only (i) establish an independent audit committee; (ii) provide prompt certification by our chief executive officer of any material non-compliance with any corporate governance rules of the NYSE; (iii) provide periodic (annual and interim) written affirmations to the NYSE with respect to our corporate governance practices; and (iv) provide a brief description of significant differences between our corporate governance practices and those followed by U.S. companies. Our Audit Committee consists of three independent non-executive directors, namely Messrs. Xie Tao (Chairman), Neo Poh Kiat and Wong Hong Wai. Each of Messrs. Xie Tao, Neo Poh Kiat and Wong Hong Wai satisfies the “independence” requirements of Rule 10A-3 of the Exchange Act. A brief description of significant differences between our corporate governance practices, which are in compliance with Bermuda law, and those followed by U.S. companies can be found in “Item 10. Additional Information — A. Memorandum of Association and Bye-Laws — Corporate Governance.” </w:t>
      </w:r>
    </w:p>
    <w:p>
      <w:pPr>
        <w:pStyle w:val="TextBody"/>
        <w:bidi w:val="0"/>
        <w:spacing w:before="360" w:after="283"/>
        <w:jc w:val="both"/>
        <w:rPr>
          <w:rFonts w:ascii="Times New Roman" w:hAnsi="Times New Roman"/>
          <w:sz w:val="20"/>
        </w:rPr>
      </w:pPr>
      <w:bookmarkStart w:id="31" w:name="item_16h"/>
      <w:bookmarkEnd w:id="31"/>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16H. MINE SAFETY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32" w:name="item_16i"/>
      <w:bookmarkEnd w:id="32"/>
      <w:r>
        <w:rPr>
          <w:rFonts w:ascii="Times New Roman" w:hAnsi="Times New Roman"/>
          <w:b/>
          <w:color w:val="000000"/>
          <w:sz w:val="20"/>
        </w:rPr>
        <w:t>ITEM 16I. DISCLOSURE REGARDING FOREIGN JURISDICTIONS THAT PREVENT INSPECTIONS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sz w:val="20"/>
        </w:rPr>
      </w:pPr>
      <w:bookmarkStart w:id="33" w:name="item_16j"/>
      <w:bookmarkEnd w:id="33"/>
      <w:r>
        <w:rPr>
          <w:rFonts w:ascii="Times New Roman" w:hAnsi="Times New Roman"/>
          <w:b/>
          <w:color w:val="000000"/>
          <w:sz w:val="20"/>
        </w:rPr>
        <w:t>ITEM 16J. INSIDER TRADING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an Insider Trading Policy, which, among other things, governs the purchase, sale, and other dispositions of our securities by our directors, senior management, and employees. The policy is reasonably designed to promote compliance with applicable insider trading laws, rules and regulations, as well as the listing standards of NYSE. We perform regular reviews of the policy, revising it as necessary to ensure alignment with evolving regulatory requirements and our internal risk assessments.</w:t>
      </w:r>
    </w:p>
    <w:p>
      <w:pPr>
        <w:pStyle w:val="TextBody"/>
        <w:bidi w:val="0"/>
        <w:spacing w:before="360" w:after="283"/>
        <w:jc w:val="both"/>
        <w:rPr>
          <w:rFonts w:ascii="Times New Roman" w:hAnsi="Times New Roman"/>
          <w:sz w:val="20"/>
        </w:rPr>
      </w:pPr>
      <w:bookmarkStart w:id="34" w:name="item_16k"/>
      <w:bookmarkEnd w:id="34"/>
      <w:r>
        <w:rPr>
          <w:rFonts w:ascii="Times New Roman" w:hAnsi="Times New Roman"/>
          <w:b/>
          <w:color w:val="000000"/>
          <w:sz w:val="20"/>
        </w:rPr>
        <w:t>ITEM</w:t>
      </w:r>
      <w:r>
        <w:rPr>
          <w:rFonts w:ascii="Times New Roman" w:hAnsi="Times New Roman"/>
          <w:color w:val="000000"/>
          <w:sz w:val="20"/>
        </w:rPr>
        <w:t> </w:t>
      </w:r>
      <w:r>
        <w:rPr>
          <w:rFonts w:ascii="Times New Roman" w:hAnsi="Times New Roman"/>
          <w:b/>
          <w:color w:val="000000"/>
          <w:sz w:val="20"/>
        </w:rPr>
        <w:t>16K.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Cybersecurity Risk Management and Strategy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holding company and the majority of business is done at our main subsidiary, Yuchai. As a holding company, our objective is to coordinate the policy and administration of our subsidiary companies. We pursue this objective by adopting complementary bottom-up and top-down approaches to cybersecurity risk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the main operating subsidiary of the Company, Yuchai has developed and implemented a series of internal policies (collectively, the “Cybersecurity Risk Management Policies”) that are intended to protect the confidentiality, integrity, and availability of our critical systems and information. Yuchai’s cybersecurity risk management program includes a cybersecurity incident response plan. Risk monitoring across the Yuchai group is conducted by a wholly-owned subsidiary of Yuchai that focuses on information technology security and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 designs and assesses its Cybersecurity Risk Management Policies in accordance with PRC laws, rules and regulations, including the Cyber Security Law and the Data Security Law. This does not imply that we meet any particular technical standards, specifications, or requirements, only that we use these cybersecurity-related laws, rules and regulations as a guide to help us identify, assess, and manage cybersecurity risks relevant to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Yuchai’s Cybersecurity Risk Management Policies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assessments designed to help identify material cybersecurity risks to our critical systems, information, products, services, and our broader enterprise IT environment;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security team principally responsible for managing our cybersecurity risk assessment processes, our security controls, and our response to cybersecurity incidents;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use of external service providers, where appropriate, to assess, test or otherwise assist with aspects of our security controls, subject to our oversight and monitoring of the risks associated with using these external service providers;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awareness training of our employees, incident response personnel, and senior management;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cybersecurity incident response plan that includes procedures for responding to cybersecurity incidents.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terms of our top-down approach to cybersecurity risk management, our controlling shareholder, Hong Leong Asia (as defined herein) provides support to our Company for our own cybersecurity risk evaluation and management.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t>
      </w:r>
    </w:p>
    <w:p>
      <w:pPr>
        <w:pStyle w:val="TextBody"/>
        <w:bidi w:val="0"/>
        <w:spacing w:before="360" w:after="283"/>
        <w:jc w:val="both"/>
        <w:rPr>
          <w:rFonts w:ascii="Times New Roman" w:hAnsi="Times New Roman"/>
          <w:sz w:val="20"/>
        </w:rPr>
      </w:pPr>
      <w:r>
        <w:rPr>
          <w:rFonts w:ascii="Times New Roman" w:hAnsi="Times New Roman"/>
          <w:b/>
          <w:i/>
          <w:color w:val="000000"/>
          <w:sz w:val="20"/>
        </w:rPr>
        <w:t>Cybersecurity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Currently, our Audit Committee oversees Yuchai’s cybersecurity risk management. Our management updates the Audit Committee, as necessary, regarding any material cybersecurity incidents, as well as any incidents with lesser impact potential. If it deems necessary, the Audit Committee will report to the full Board regarding the significant cybersecurity-related issues.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team, including the President and Chief Financial Officer, is responsible for assessing and managing our material risks from cybersecurity threats. The President and Chief Financial Officer, travel frequently for as much as up to two weeks at a time, to Yuchai to actively participate in Yuchai’s operations and facilitate communications. Our management team has primary responsibility for our overall cybersecurity risk management program and supervises both our internal cybersecurity personnel and our retained external cybersecurity consultants. Our management team oversees Yuchai management’s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future, we plan to evaluate the integration of Yuchai’s cybersecurity risk management program into our overall enterprise risk management program.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5" w:name="item_17"/>
      <w:bookmarkEnd w:id="35"/>
      <w:r>
        <w:rPr>
          <w:rFonts w:ascii="Times New Roman" w:hAnsi="Times New Roman"/>
          <w:b/>
          <w:color w:val="000000"/>
          <w:sz w:val="20"/>
        </w:rPr>
        <w:t>ITEM 17.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elected to provide the financial statements and related information specified in Item 18 in lieu of Item 17.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36" w:name="item_18"/>
      <w:bookmarkEnd w:id="36"/>
      <w:r>
        <w:rPr>
          <w:rFonts w:ascii="Times New Roman" w:hAnsi="Times New Roman"/>
          <w:b/>
          <w:color w:val="000000"/>
          <w:sz w:val="20"/>
        </w:rPr>
        <w:t>ITEM 18.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jc w:val="left"/>
        <w:rPr/>
      </w:pPr>
      <w:r>
        <w:rPr/>
        <w:t> </w:t>
      </w:r>
    </w:p>
    <w:tbl>
      <w:tblPr>
        <w:tblW w:w="9542" w:type="dxa"/>
        <w:jc w:val="left"/>
        <w:tblInd w:w="0" w:type="dxa"/>
        <w:tblLayout w:type="fixed"/>
        <w:tblCellMar>
          <w:top w:w="28" w:type="dxa"/>
          <w:left w:w="28" w:type="dxa"/>
          <w:bottom w:w="28" w:type="dxa"/>
          <w:right w:w="28" w:type="dxa"/>
        </w:tblCellMar>
      </w:tblPr>
      <w:tblGrid>
        <w:gridCol w:w="8776"/>
        <w:gridCol w:w="766"/>
      </w:tblGrid>
      <w:tr>
        <w:trPr/>
        <w:tc>
          <w:tcPr>
            <w:tcW w:w="877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w:t>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profit_or_loss">
              <w:r>
                <w:rPr>
                  <w:rStyle w:val="InternetLink"/>
                  <w:rFonts w:ascii="Times New Roman" w:hAnsi="Times New Roman"/>
                  <w:color w:val="0000FF"/>
                  <w:sz w:val="20"/>
                  <w:u w:val="single"/>
                </w:rPr>
                <w:t>Consolidated Statements of Profit or Loss for years ended December 31, 2023, 2024 and 2025</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comprehensive">
              <w:r>
                <w:rPr>
                  <w:rStyle w:val="InternetLink"/>
                  <w:rFonts w:ascii="Times New Roman" w:hAnsi="Times New Roman"/>
                  <w:color w:val="0000FF"/>
                  <w:sz w:val="20"/>
                  <w:u w:val="single"/>
                </w:rPr>
                <w:t>Consolidated Statements of Comprehensive Income for years ended December 31, 2023, 2024 and 2025</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financial_posi">
              <w:r>
                <w:rPr>
                  <w:rStyle w:val="InternetLink"/>
                  <w:rFonts w:ascii="Times New Roman" w:hAnsi="Times New Roman"/>
                  <w:color w:val="0000FF"/>
                  <w:sz w:val="20"/>
                  <w:u w:val="single"/>
                </w:rPr>
                <w:t>Consolidated Statements of Financial Position as of December 31, 2024 and 2025</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changes_in_eq">
              <w:r>
                <w:rPr>
                  <w:rStyle w:val="InternetLink"/>
                  <w:rFonts w:ascii="Times New Roman" w:hAnsi="Times New Roman"/>
                  <w:color w:val="0000FF"/>
                  <w:sz w:val="20"/>
                  <w:u w:val="single"/>
                </w:rPr>
                <w:t>Consolidated Statements of Changes in Equity for years ended December 31, 2023, 2024 and 2025</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F-8</w:t>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cash_flows">
              <w:r>
                <w:rPr>
                  <w:rStyle w:val="InternetLink"/>
                  <w:rFonts w:ascii="Times New Roman" w:hAnsi="Times New Roman"/>
                  <w:color w:val="0000FF"/>
                  <w:sz w:val="20"/>
                  <w:u w:val="single"/>
                </w:rPr>
                <w:t>Consolidated Statements of Cash Flows for years ended December 31, 2023, 2024 and 2025</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w:t>
            </w:r>
          </w:p>
        </w:tc>
      </w:tr>
      <w:tr>
        <w:trPr/>
        <w:tc>
          <w:tcPr>
            <w:tcW w:w="877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the_consolidated_financial_sta">
              <w:r>
                <w:rPr>
                  <w:rStyle w:val="InternetLink"/>
                  <w:rFonts w:ascii="Times New Roman" w:hAnsi="Times New Roman"/>
                  <w:color w:val="0000FF"/>
                  <w:sz w:val="20"/>
                  <w:u w:val="single"/>
                </w:rPr>
                <w:t>Notes to the Consolidated Financial Statements for years ended December 31, 2023, 2024 and 2025</w:t>
              </w:r>
            </w:hyperlink>
          </w:p>
        </w:tc>
        <w:tc>
          <w:tcPr>
            <w:tcW w:w="76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F-14</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37" w:name="item_19"/>
      <w:bookmarkEnd w:id="37"/>
      <w:r>
        <w:rPr>
          <w:rFonts w:ascii="Times New Roman" w:hAnsi="Times New Roman"/>
          <w:b/>
          <w:color w:val="000000"/>
          <w:sz w:val="20"/>
        </w:rPr>
        <w:t>ITEM 19.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Exhibits to this Annual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Memorandum of Association of China Yuchai International Limited or the Registrant (incorporated herein by reference to Amendment No. 1 to the Registration Statement on Form F-1, filed by the Registrant on December 8, 1994 (File No. 33-86162), or the Form F-1).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Bye-laws of the Registrant (incorporated herein by reference to the Form F-1).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w:anchor="byelaws">
              <w:r>
                <w:rPr>
                  <w:rStyle w:val="InternetLink"/>
                  <w:rFonts w:ascii="Times New Roman" w:hAnsi="Times New Roman"/>
                  <w:color w:val="0000FF"/>
                  <w:sz w:val="20"/>
                  <w:u w:val="single"/>
                </w:rPr>
                <w:t>Description of Securities Registered under Section 12 of the Securities Exchange Act of 1934. (See “Item 10. Additional Information — A. Memorandum of Association and Bye-Laws”)</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Subscription and Shareholders Agreement of Diesel Machinery (BVI) Limited, dated November 9, 1994, among Diesel Machinery (BVI) Limited, Hong Leong Asia Ltd., or Hong Leong Asia, and China Everbright Holdings Company Limited, or China Everbright Holdings (incorporated herein by reference to Amendment No. 2 to the Registration Statement on Form F-1, filed by the Registrant on December 14, 1994 (File No. 33-86162).</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Supplemental Subscription and Shareholders Agreement, dated January 21, 2002, between China Everbright Holdings and Hong Leong Asia (incorporated herein by reference to the Annual Report on Form 20-F for fiscal year ended December 31, 2001, filed by the Registrant on June 25, 2002 (File No. 001-013522), or Form 20-F FY2001).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Second Supplemental Subscription and Shareholders Agreement, dated May 17, 2002, between China Everbright Holdings and Hong Leong Asia (incorporated herein by reference to the Form 20-F FY2001).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Contract for the Subscription of Foreign Common shares in Guangxi Yuchai Machinery Company Limited, or Yuchai, and Conversion from a Joint Stock Limited Company into a Sino-Foreign Joint Stock Limited Company, dated April 1, 1993, among Yuchai, Guangxi Yuchai Machinery Holdings Company, Hong Leong Technology Systems (BVI) Ltd., Cathay Clemente Diesel Holdings Limited, Goldman Sachs Guangxi Holdings (BVI) Ltd., Tsang &amp; Ong Nominees (BVI) Ltd. and Youngstar Holdings Limited with amendments, dated May 27, 1994 and October 10, 1994 (incorporated herein by reference to the Form F-1).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Subscription and Transfer Agreement (with Shareholders’ Agreement), dated April 1993, among Cathay Clemente (Holdings) Limited, GS Capital Partners L.P., Sun Yuan Overseas Pte Ltd., HL Technology Systems Pte Ltd and Coomber Investments Limited (incorporated herein by reference to the Registration Statement on Form F-1, filed by the Registrant on November 9, 1994 (File No. 33-86162)).</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Amended and Restated Shareholders’ Agreement, dated as of November 9, 1994 among The Cathay Investment Fund, Limited, GS Capital Partners L.P., HL Technology Systems Pte Ltd, Hong Leong Asia Ltd., Coomber Investments Limited, China Everbright Holdings Company Limited, Diesel Machinery (BVI) Limited, owners of shares formerly held by Sun Yuan Overseas (BVI) Ltd. and the Registrant (incorporated herein by reference to the Form F-1).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Form of Amended and Restated Registration Right Agreement, dated as of November 9, 1994, among The Cathay Investment Fund, Limited, GS Capital Partners L.P., HL Technology Systems Pte Ltd, Coomber Investments Limited, owners of shares formerly held by Sun Yuan Overseas (BVI) Ltd. and the Registrant (incorporated herein by reference to Amendment No. 3 to the Registration Statement on Form F-1, filed by the Registrant on December 15, 1994 (File No. 33-86162)).</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Form of Subscription Agreement between the Registrant and its wholly-owned subsidiaries named therein and Yuchai (incorporated herein by reference to Amendment No. 2 to the Registration Statement on Form F-1, filed by the Registrant on December 14, 1994 (File no. 33-86162)).</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97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Share Purchase and Subscription Agreement, dated as of November 9, 1994, between the Registrant, China Everbright Holdings Company Limited and Coomber Investments Limited (incorporated herein by reference to the Form F-1).</w:t>
            </w:r>
            <w:r>
              <w:rPr>
                <w:rFonts w:ascii="Times New Roman" w:hAnsi="Times New Roman"/>
                <w:color w:val="000000"/>
                <w:sz w:val="10"/>
              </w:rPr>
              <w:t>(P)</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Form of indemnification agreement entered into by the Registrant with its officers and directors. (incorporated herein by reference)</w:t>
              </w:r>
            </w:hyperlink>
            <w:r>
              <w:rPr>
                <w:rFonts w:ascii="Times New Roman" w:hAnsi="Times New Roman"/>
                <w:color w:val="000000"/>
                <w:sz w:val="20"/>
              </w:rPr>
              <w:t>.</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Agreement between the Registrant and Yuchai, dated July 19, 2003 (incorporated herein by reference to the Form 20-F FY2003).</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Reorganization Agreement between the Company, Coomber and Yuchai, dated April 7, 2005 (incorporated herein by reference to the Current Report on Form 6-K filed by the Registrant on April 7, 2005 (File No. 001-13522)).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Reorganization Agreement Amendment (No. 1) between the Registrant, Coomber and Yuchai, dated December 2, 2005 (incorporated herein by reference to the Current Report on Form 6-K filed by the Registrant on December 6, 2005 (File No. 001-13522)).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Reorganization Agreement Amendment (No. 2) between the Registrant, Coomber and Yuchai, dated November 30, 2006 (incorporated herein by reference to the Current Report on Form 6-K filed by the Registrant on November 30, 2006 (File No. 001-13522)).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9724"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Cooperation Agreement among the Registrant, Yuchai, Coomber and Guangxi Yuchai Machinery Group Company Limited, dated June 30, 2007 (incorporated herein by reference to the Current Report on Form 6-K filed by the Registrant on July 5, 2007 (File No. 001-13522)).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
        <w:gridCol w:w="9545"/>
      </w:tblGrid>
      <w:tr>
        <w:trPr/>
        <w:tc>
          <w:tcPr>
            <w:tcW w:w="660" w:type="dxa"/>
            <w:tcBorders/>
            <w:vAlign w:val="center"/>
          </w:tcPr>
          <w:p>
            <w:pPr>
              <w:pStyle w:val="TableContents"/>
              <w:bidi w:val="0"/>
              <w:spacing w:before="0" w:after="283"/>
              <w:jc w:val="left"/>
              <w:rPr>
                <w:sz w:val="4"/>
                <w:szCs w:val="4"/>
              </w:rPr>
            </w:pPr>
            <w:r>
              <w:rPr>
                <w:sz w:val="4"/>
                <w:szCs w:val="4"/>
              </w:rPr>
            </w:r>
          </w:p>
        </w:tc>
        <w:tc>
          <w:tcPr>
            <w:tcW w:w="9545" w:type="dxa"/>
            <w:tcBorders/>
            <w:vAlign w:val="center"/>
          </w:tcPr>
          <w:p>
            <w:pPr>
              <w:pStyle w:val="TableContents"/>
              <w:bidi w:val="0"/>
              <w:spacing w:before="0" w:after="283"/>
              <w:jc w:val="left"/>
              <w:rPr>
                <w:sz w:val="4"/>
                <w:szCs w:val="4"/>
              </w:rPr>
            </w:pPr>
            <w:r>
              <w:rPr>
                <w:sz w:val="4"/>
                <w:szCs w:val="4"/>
              </w:rPr>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China Yuchai International Limited 2025 Equity Incentive Plan (incorporated herein by reference to Exhibit 4.3# to the Company’s Registration Statement on Form S-8 filed by the Registrant on July 8, 2025 (File No. 333-288555)).</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w:anchor="ck0000932695-ex8_1.htm">
              <w:r>
                <w:rPr>
                  <w:rStyle w:val="InternetLink"/>
                  <w:rFonts w:ascii="Times New Roman" w:hAnsi="Times New Roman"/>
                  <w:color w:val="0000FF"/>
                  <w:sz w:val="20"/>
                  <w:u w:val="single"/>
                </w:rPr>
                <w:t>Subsidiaries of the Registrant (Filed herewith).</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Insider Trading Policy (Incorporated herein by reference to the Annual Report on Form 20-F for fiscal year ended December 31, 2024, filed by the Registrant on April 25, 2025 (File No. 001-13522)).</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12.1</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w:anchor="ck0000932695-ex12_1.htm">
              <w:r>
                <w:rPr>
                  <w:rStyle w:val="InternetLink"/>
                  <w:rFonts w:ascii="Times New Roman" w:hAnsi="Times New Roman"/>
                  <w:color w:val="0000FF"/>
                  <w:sz w:val="20"/>
                  <w:u w:val="single"/>
                </w:rPr>
                <w:t>Certification of the Chief Executive Officer pursuant to Rule 13a-14(a) of the Securities Exchange Act of 1934 and 15 U.S.C. Section 7241, as adopted pursuant to Section 302 of the Sarbanes-Oxley Act of 2002 (Filed herewith).</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w:anchor="ck0000932695-ex12_2.htm">
              <w:r>
                <w:rPr>
                  <w:rStyle w:val="InternetLink"/>
                  <w:rFonts w:ascii="Times New Roman" w:hAnsi="Times New Roman"/>
                  <w:color w:val="0000FF"/>
                  <w:sz w:val="20"/>
                  <w:u w:val="single"/>
                </w:rPr>
                <w:t>Certification of the Chief Financial Officer pursuant to Rule 13a-14(a) of the Securities Exchange Act of 1934 and 15 U.S.C. Section 7241, as adopted pursuant to Section 302 of the Sarbanes-Oxley Act of 2002 (Filed herewith).</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13.1</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w:anchor="ck0000932695-ex13_1.htm">
              <w:r>
                <w:rPr>
                  <w:rStyle w:val="InternetLink"/>
                  <w:rFonts w:ascii="Times New Roman" w:hAnsi="Times New Roman"/>
                  <w:color w:val="0000FF"/>
                  <w:sz w:val="20"/>
                  <w:u w:val="single"/>
                </w:rPr>
                <w:t>Certification of the Chief Executive Officer pursuant to Rule 13a-14(b) of the Securities Exchange Act of 1934 and 15 U.S.C. Section 1350, as adopted pursuant to Section 906 of the Sarbanes-Oxley Act of 2002 (Filed herewith).</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13.2</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w:anchor="ck0000932695-ex13_2.htm">
              <w:r>
                <w:rPr>
                  <w:rStyle w:val="InternetLink"/>
                  <w:rFonts w:ascii="Times New Roman" w:hAnsi="Times New Roman"/>
                  <w:color w:val="0000FF"/>
                  <w:sz w:val="20"/>
                  <w:u w:val="single"/>
                </w:rPr>
                <w:t>Certification of the Chief Financial Officer pursuant to Rule 13a-14(b) of the Securities Exchange Act of 1934 and 15 U.S.C. Section 1350, as adopted pursuant to Section 906 of the Sarbanes-Oxley Act of 2002 (Filed herewith).</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15.1</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w:anchor="ck0000932695-ex15_1.htm">
              <w:r>
                <w:rPr>
                  <w:rStyle w:val="InternetLink"/>
                  <w:rFonts w:ascii="Times New Roman" w:hAnsi="Times New Roman"/>
                  <w:color w:val="0000FF"/>
                  <w:sz w:val="20"/>
                  <w:u w:val="single"/>
                </w:rPr>
                <w:t>Consent of Independent Registered Public Accounting Firm (Filed herewith).</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9545"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Policy for Recovery of Erroneously Awarded Compensation</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(Incorporated herein by reference to the Annual Report on Form 20-F for fiscal year ended December 31, 2023, filed by the Registrant on April 26, 2024 (File No. 001-13522))</w:t>
              </w:r>
            </w:hyperlink>
            <w:r>
              <w:rPr>
                <w:rFonts w:ascii="Times New Roman" w:hAnsi="Times New Roman"/>
                <w:color w:val="000000"/>
                <w:sz w:val="20"/>
              </w:rPr>
              <w:t>.</w:t>
            </w:r>
          </w:p>
        </w:tc>
      </w:tr>
      <w:tr>
        <w:trPr/>
        <w:tc>
          <w:tcPr>
            <w:tcW w:w="660"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101.INS</w:t>
            </w:r>
          </w:p>
        </w:tc>
        <w:tc>
          <w:tcPr>
            <w:tcW w:w="9545" w:type="dxa"/>
            <w:tcBorders/>
            <w:tcMar>
              <w:top w:w="0" w:type="dxa"/>
              <w:left w:w="0" w:type="dxa"/>
              <w:bottom w:w="0" w:type="dxa"/>
              <w:right w:w="0" w:type="dxa"/>
            </w:tcMar>
            <w:vAlign w:val="center"/>
          </w:tcPr>
          <w:p>
            <w:pPr>
              <w:pStyle w:val="TableContents"/>
              <w:bidi w:val="0"/>
              <w:spacing w:before="80" w:after="283"/>
              <w:jc w:val="both"/>
              <w:rPr>
                <w:rFonts w:ascii="Times New Roman" w:hAnsi="Times New Roman"/>
                <w:color w:val="000000"/>
                <w:sz w:val="20"/>
              </w:rPr>
            </w:pPr>
            <w:r>
              <w:rPr>
                <w:rFonts w:ascii="Times New Roman" w:hAnsi="Times New Roman"/>
                <w:color w:val="000000"/>
                <w:sz w:val="20"/>
              </w:rPr>
              <w:t>Inline XBRL Instance Document—this instance document does not appear in the Interactive Data File because its XBRL tags embedded within the Inline XBRL document</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Previously filed on paper 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not included as exhibits certain instruments with respect to its long-term debt, the total amount of debt authorized under each of which does not exceed 10% of its total consolidated assets. The Company agrees to furnish a copy of any such instrument to the SEC upon request.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8" w:name="signatures"/>
      <w:bookmarkEnd w:id="38"/>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831"/>
        <w:gridCol w:w="631"/>
        <w:gridCol w:w="146"/>
        <w:gridCol w:w="3961"/>
      </w:tblGrid>
      <w:tr>
        <w:trPr/>
        <w:tc>
          <w:tcPr>
            <w:tcW w:w="18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Hoh Weng Ming</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Hoh Weng Ming</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Director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Date: April 29, 2026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9" w:name="consolidated_financial_statements"/>
      <w:bookmarkEnd w:id="39"/>
      <w:r>
        <w:rPr>
          <w:rFonts w:ascii="Times New Roman" w:hAnsi="Times New Roman"/>
          <w:b/>
          <w:color w:val="000000"/>
          <w:sz w:val="20"/>
        </w:rPr>
        <w:t>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December 31,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40" w:name="index"/>
      <w:bookmarkEnd w:id="40"/>
      <w:r>
        <w:rPr>
          <w:rFonts w:ascii="Times New Roman" w:hAnsi="Times New Roman"/>
          <w:b/>
          <w:color w:val="000000"/>
          <w:sz w:val="20"/>
        </w:rPr>
        <w:t>Index</w:t>
      </w:r>
      <w:r>
        <w:rPr>
          <w:rFonts w:ascii="Times New Roman" w:hAnsi="Times New Roman"/>
          <w:color w:val="000000"/>
          <w:sz w:val="20"/>
        </w:rPr>
        <w:t xml:space="preserve"> </w:t>
      </w:r>
    </w:p>
    <w:p>
      <w:pPr>
        <w:pStyle w:val="TextBody"/>
        <w:bidi w:val="0"/>
        <w:jc w:val="left"/>
        <w:rPr/>
      </w:pPr>
      <w:r>
        <w:rPr/>
        <w:t> </w:t>
      </w:r>
    </w:p>
    <w:tbl>
      <w:tblPr>
        <w:tblW w:w="7487" w:type="dxa"/>
        <w:jc w:val="left"/>
        <w:tblInd w:w="0" w:type="dxa"/>
        <w:tblLayout w:type="fixed"/>
        <w:tblCellMar>
          <w:top w:w="28" w:type="dxa"/>
          <w:left w:w="28" w:type="dxa"/>
          <w:bottom w:w="28" w:type="dxa"/>
          <w:right w:w="28" w:type="dxa"/>
        </w:tblCellMar>
      </w:tblPr>
      <w:tblGrid>
        <w:gridCol w:w="6721"/>
        <w:gridCol w:w="766"/>
      </w:tblGrid>
      <w:tr>
        <w:trPr/>
        <w:tc>
          <w:tcPr>
            <w:tcW w:w="6721"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6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independent_registered_public">
              <w:r>
                <w:rPr>
                  <w:rStyle w:val="InternetLink"/>
                  <w:rFonts w:ascii="Times New Roman" w:hAnsi="Times New Roman"/>
                  <w:color w:val="0000FF"/>
                  <w:sz w:val="20"/>
                  <w:u w:val="single"/>
                </w:rPr>
                <w:t xml:space="preserve">Report of Independent Registered Public Accounting Firm </w:t>
              </w:r>
            </w:hyperlink>
            <w:hyperlink w:anchor="report_of_independent_registered_public">
              <w:r>
                <w:rPr>
                  <w:rStyle w:val="InternetLink"/>
                  <w:rFonts w:ascii="Times New Roman" w:hAnsi="Times New Roman"/>
                  <w:b/>
                  <w:color w:val="0000FF"/>
                  <w:sz w:val="20"/>
                  <w:u w:val="single"/>
                </w:rPr>
                <w:t>(PCAOB ID: 1247)</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w:t>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profit_or_loss">
              <w:r>
                <w:rPr>
                  <w:rStyle w:val="InternetLink"/>
                  <w:rFonts w:ascii="Times New Roman" w:hAnsi="Times New Roman"/>
                  <w:color w:val="0000FF"/>
                  <w:sz w:val="20"/>
                  <w:u w:val="single"/>
                </w:rPr>
                <w:t>Consolidated Statements of Profit or Loss</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comprehensive">
              <w:r>
                <w:rPr>
                  <w:rStyle w:val="InternetLink"/>
                  <w:rFonts w:ascii="Times New Roman" w:hAnsi="Times New Roman"/>
                  <w:color w:val="0000FF"/>
                  <w:sz w:val="20"/>
                  <w:u w:val="single"/>
                </w:rPr>
                <w:t>Consolidated Statements of Comprehensive Income</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financial_posi">
              <w:r>
                <w:rPr>
                  <w:rStyle w:val="InternetLink"/>
                  <w:rFonts w:ascii="Times New Roman" w:hAnsi="Times New Roman"/>
                  <w:color w:val="0000FF"/>
                  <w:sz w:val="20"/>
                  <w:u w:val="single"/>
                </w:rPr>
                <w:t>Consolidated Statements of Financial Position</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changes_in_eq">
              <w:r>
                <w:rPr>
                  <w:rStyle w:val="InternetLink"/>
                  <w:rFonts w:ascii="Times New Roman" w:hAnsi="Times New Roman"/>
                  <w:color w:val="0000FF"/>
                  <w:sz w:val="20"/>
                  <w:u w:val="single"/>
                </w:rPr>
                <w:t>Consolidated Statements of Changes in Equity</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F-8</w:t>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_of_cash_flows">
              <w:r>
                <w:rPr>
                  <w:rStyle w:val="InternetLink"/>
                  <w:rFonts w:ascii="Times New Roman" w:hAnsi="Times New Roman"/>
                  <w:color w:val="0000FF"/>
                  <w:sz w:val="20"/>
                  <w:u w:val="single"/>
                </w:rPr>
                <w:t>Consolidated Statements of Cash Flows</w:t>
              </w:r>
            </w:hyperlink>
          </w:p>
        </w:tc>
        <w:tc>
          <w:tcPr>
            <w:tcW w:w="76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F-11</w:t>
            </w:r>
          </w:p>
        </w:tc>
      </w:tr>
      <w:tr>
        <w:trPr/>
        <w:tc>
          <w:tcPr>
            <w:tcW w:w="672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the_consolidated_financial_sta">
              <w:r>
                <w:rPr>
                  <w:rStyle w:val="InternetLink"/>
                  <w:rFonts w:ascii="Times New Roman" w:hAnsi="Times New Roman"/>
                  <w:color w:val="0000FF"/>
                  <w:sz w:val="20"/>
                  <w:u w:val="single"/>
                </w:rPr>
                <w:t>Notes to the Consolidated Financial Statements</w:t>
              </w:r>
            </w:hyperlink>
          </w:p>
        </w:tc>
        <w:tc>
          <w:tcPr>
            <w:tcW w:w="76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F-14</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sz w:val="20"/>
        </w:rPr>
      </w:pPr>
      <w:bookmarkStart w:id="41" w:name="report_of_independent_registered_public"/>
      <w:bookmarkEnd w:id="41"/>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Shareholders and the Board of Directors of China Yuchai International Limited </w:t>
      </w:r>
    </w:p>
    <w:p>
      <w:pPr>
        <w:pStyle w:val="TextBody"/>
        <w:bidi w:val="0"/>
        <w:spacing w:before="360" w:after="283"/>
        <w:jc w:val="both"/>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audited the accompanying consolidated statements of financial position of China Yuchai International Limited (the “Company”) as of December 31, 2025 and 2024, the related consolidated statements of profit or loss, comprehensive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IFRS Accounting Standards as issued by International Accounting Standards Board.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April 29, 2026 expressed an unqualified opinion thereon. </w:t>
      </w:r>
    </w:p>
    <w:p>
      <w:pPr>
        <w:pStyle w:val="TextBody"/>
        <w:bidi w:val="0"/>
        <w:spacing w:before="360" w:after="283"/>
        <w:jc w:val="both"/>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Capitalization of development costs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5"/>
        <w:gridCol w:w="8810"/>
      </w:tblGrid>
      <w:tr>
        <w:trPr/>
        <w:tc>
          <w:tcPr>
            <w:tcW w:w="1395" w:type="dxa"/>
            <w:tcBorders/>
            <w:vAlign w:val="center"/>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r>
      <w:tr>
        <w:trPr/>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8810"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Group engages in research and development activities to improve existing engine products and develop new engine products and related technologies (the “Development Projects”). The Group recognized related development costs as an intangible asset when the Development Projects met the capitalization criteria as stated in Note 2.5 (h) to the consolidated financial statements. This included RMB 174.3 million (US$25.2 million) capitalized during the year, as disclosed in Note 13 to the consolidated financial statements.</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Auditing management’s recognition of capitalized development costs was complex because the capitalization of development costs requires the application of management judgment to determine, amongst others, what continues to constitute development activities and when a Development Project should cease further capitalization of development costs. Management judgment is also required to ascertain the nature of expenses that qualify for capitalization.</w:t>
            </w:r>
          </w:p>
        </w:tc>
      </w:tr>
      <w:tr>
        <w:trPr/>
        <w:tc>
          <w:tcPr>
            <w:tcW w:w="1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810"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We obtained an understanding, evaluated the design and tested controls over the authorization, approval and recording of expenses and controls over monitoring of the status of the on-going Development Projects.</w:t>
            </w:r>
          </w:p>
          <w:p>
            <w:pPr>
              <w:pStyle w:val="TableContents"/>
              <w:bidi w:val="0"/>
              <w:spacing w:before="0" w:after="20"/>
              <w:jc w:val="both"/>
              <w:rPr>
                <w:rFonts w:ascii="Times New Roman" w:hAnsi="Times New Roman"/>
                <w:color w:val="000000"/>
                <w:sz w:val="20"/>
              </w:rPr>
            </w:pPr>
            <w:r>
              <w:rPr>
                <w:rFonts w:ascii="Times New Roman" w:hAnsi="Times New Roman"/>
                <w:color w:val="000000"/>
                <w:sz w:val="20"/>
              </w:rPr>
              <w:t>Our audit procedures included, among others, evaluating management’s judgment related to the determination of the research and development phases, and the determination of which development costs can be capitalized by conducting inquiries of the engineers in the Research and Development (“R&amp;D”) department to understand the progress of the Development Projects. In addition, for a sample of Development Projects, we evaluated the status of each project, and the costs capitalized by comparing the supporting documents to the Company’s capitalization criteria. We evaluated management’s assessment that the Development Projects continued to be in-progress by inspecting the testers’ feedback and responses from the R&amp;D department on a sample basis.</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served as the Company’s auditor since 2009 </w:t>
      </w:r>
    </w:p>
    <w:p>
      <w:pPr>
        <w:pStyle w:val="TextBody"/>
        <w:bidi w:val="0"/>
        <w:jc w:val="both"/>
        <w:rPr>
          <w:rFonts w:ascii="Times New Roman" w:hAnsi="Times New Roman"/>
          <w:color w:val="000000"/>
          <w:sz w:val="20"/>
        </w:rPr>
      </w:pPr>
      <w:r>
        <w:rPr>
          <w:rFonts w:ascii="Times New Roman" w:hAnsi="Times New Roman"/>
          <w:color w:val="000000"/>
          <w:sz w:val="20"/>
        </w:rPr>
        <w:t xml:space="preserve">Singapore </w:t>
      </w:r>
    </w:p>
    <w:p>
      <w:pPr>
        <w:pStyle w:val="TextBody"/>
        <w:bidi w:val="0"/>
        <w:jc w:val="both"/>
        <w:rPr>
          <w:rFonts w:ascii="Times New Roman" w:hAnsi="Times New Roman"/>
          <w:color w:val="000000"/>
          <w:sz w:val="20"/>
        </w:rPr>
      </w:pPr>
      <w:r>
        <w:rPr>
          <w:rFonts w:ascii="Times New Roman" w:hAnsi="Times New Roman"/>
          <w:color w:val="000000"/>
          <w:sz w:val="20"/>
        </w:rPr>
        <w:t xml:space="preserve">April 29,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Shareholders and the Board of Directors of China Yuchai International Limited </w:t>
      </w:r>
    </w:p>
    <w:p>
      <w:pPr>
        <w:pStyle w:val="TextBody"/>
        <w:bidi w:val="0"/>
        <w:spacing w:before="360" w:after="283"/>
        <w:jc w:val="left"/>
        <w:rPr>
          <w:rFonts w:ascii="Times New Roman" w:hAnsi="Times New Roman"/>
          <w:sz w:val="20"/>
        </w:rPr>
      </w:pPr>
      <w:r>
        <w:rPr>
          <w:rFonts w:ascii="Times New Roman" w:hAnsi="Times New Roman"/>
          <w:b/>
          <w:color w:val="000000"/>
          <w:sz w:val="20"/>
        </w:rPr>
        <w:t>Opinion on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audited China Yuchai International Limited’s internal control over financial reporting as of December 31, 2025, based on criteria established in Internal Control—Integrated Framework issued by the Committee of Sponsoring Organizations of the Treadway Commission (2013 framework) (the “COSO criteria”). In our opinion, China Yuchai International Limited (the “Company”) maintained, in all material respects, effective internal control over financial reporting as of December 31, 2025, based on the COSO criteria.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have audited, in accordance with the standards of the Public Company Accounting Oversight Board (United States) (“PCAOB”), the consolidated statements of financial position of the Company as of December 31, 2025 and 2024, the related consolidated statements of profit or loss, comprehensive income, changes in equity and cash flows for each of the three years in the period ended December 31, 2025, and the related notes and our report dated April 29, 2026 expressed an unqualified opinion thereon. </w:t>
      </w:r>
    </w:p>
    <w:p>
      <w:pPr>
        <w:pStyle w:val="TextBody"/>
        <w:bidi w:val="0"/>
        <w:spacing w:before="360" w:after="283"/>
        <w:jc w:val="both"/>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360" w:after="283"/>
        <w:jc w:val="both"/>
        <w:rPr>
          <w:rFonts w:ascii="Times New Roman" w:hAnsi="Times New Roman"/>
          <w:sz w:val="20"/>
        </w:rPr>
      </w:pPr>
      <w:r>
        <w:rPr>
          <w:rFonts w:ascii="Times New Roman" w:hAnsi="Times New Roman"/>
          <w:b/>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jc w:val="both"/>
        <w:rPr>
          <w:rFonts w:ascii="Times New Roman" w:hAnsi="Times New Roman"/>
          <w:color w:val="000000"/>
          <w:sz w:val="20"/>
        </w:rPr>
      </w:pPr>
      <w:r>
        <w:rPr>
          <w:rFonts w:ascii="Times New Roman" w:hAnsi="Times New Roman"/>
          <w:color w:val="000000"/>
          <w:sz w:val="20"/>
        </w:rPr>
        <w:t xml:space="preserve">Singapore </w:t>
      </w:r>
    </w:p>
    <w:p>
      <w:pPr>
        <w:pStyle w:val="TextBody"/>
        <w:bidi w:val="0"/>
        <w:jc w:val="both"/>
        <w:rPr>
          <w:rFonts w:ascii="Times New Roman" w:hAnsi="Times New Roman"/>
          <w:color w:val="000000"/>
          <w:sz w:val="20"/>
        </w:rPr>
      </w:pPr>
      <w:r>
        <w:rPr>
          <w:rFonts w:ascii="Times New Roman" w:hAnsi="Times New Roman"/>
          <w:color w:val="000000"/>
          <w:sz w:val="20"/>
        </w:rPr>
        <w:t>April 29,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42" w:name="consolidated_statement_of_profit_or_loss"/>
      <w:bookmarkEnd w:id="42"/>
      <w:r>
        <w:rPr>
          <w:rFonts w:ascii="Times New Roman" w:hAnsi="Times New Roman"/>
          <w:b/>
          <w:color w:val="000000"/>
          <w:sz w:val="20"/>
        </w:rPr>
        <w:t>Consolidated Statements of Profit or Loss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0"/>
        <w:gridCol w:w="146"/>
        <w:gridCol w:w="562"/>
        <w:gridCol w:w="146"/>
        <w:gridCol w:w="146"/>
        <w:gridCol w:w="1096"/>
        <w:gridCol w:w="166"/>
        <w:gridCol w:w="146"/>
        <w:gridCol w:w="146"/>
        <w:gridCol w:w="1096"/>
        <w:gridCol w:w="166"/>
        <w:gridCol w:w="146"/>
        <w:gridCol w:w="146"/>
        <w:gridCol w:w="1096"/>
        <w:gridCol w:w="166"/>
        <w:gridCol w:w="146"/>
        <w:gridCol w:w="146"/>
        <w:gridCol w:w="991"/>
        <w:gridCol w:w="212"/>
      </w:tblGrid>
      <w:tr>
        <w:trPr/>
        <w:tc>
          <w:tcPr>
            <w:tcW w:w="3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19,133,575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3,562,398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(15,502,876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(16,315,074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(2,974,825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587,573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(195,240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(299,171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of associates,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of joint ventures,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Attributable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holders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(dollar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43" w:name="consolidated_statement_of_comprehensive"/>
      <w:bookmarkEnd w:id="43"/>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left"/>
        <w:rPr/>
      </w:pPr>
      <w:r>
        <w:rPr/>
        <w:t> </w:t>
      </w:r>
    </w:p>
    <w:tbl>
      <w:tblPr>
        <w:tblW w:w="10112" w:type="dxa"/>
        <w:jc w:val="left"/>
        <w:tblInd w:w="0" w:type="dxa"/>
        <w:tblLayout w:type="fixed"/>
        <w:tblCellMar>
          <w:top w:w="28" w:type="dxa"/>
          <w:left w:w="28" w:type="dxa"/>
          <w:bottom w:w="28" w:type="dxa"/>
          <w:right w:w="28" w:type="dxa"/>
        </w:tblCellMar>
      </w:tblPr>
      <w:tblGrid>
        <w:gridCol w:w="5191"/>
        <w:gridCol w:w="146"/>
        <w:gridCol w:w="146"/>
        <w:gridCol w:w="781"/>
        <w:gridCol w:w="146"/>
        <w:gridCol w:w="146"/>
        <w:gridCol w:w="146"/>
        <w:gridCol w:w="781"/>
        <w:gridCol w:w="146"/>
        <w:gridCol w:w="146"/>
        <w:gridCol w:w="146"/>
        <w:gridCol w:w="781"/>
        <w:gridCol w:w="146"/>
        <w:gridCol w:w="146"/>
        <w:gridCol w:w="146"/>
        <w:gridCol w:w="781"/>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Items that may be reclassified subsequently to profit or loss,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fair value change on debt instruments at fair value through</w:t>
              <w:br/>
              <w:t>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for the year,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for the year,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44" w:name="consolidated_statement_of_financial_posi"/>
      <w:bookmarkEnd w:id="44"/>
      <w:r>
        <w:rPr>
          <w:rFonts w:ascii="Times New Roman" w:hAnsi="Times New Roman"/>
          <w:b/>
          <w:color w:val="000000"/>
          <w:sz w:val="20"/>
        </w:rPr>
        <w:t>Consolidated Statements of Financial Position</w:t>
      </w:r>
      <w:r>
        <w:rPr>
          <w:rFonts w:ascii="Times New Roman" w:hAnsi="Times New Roman"/>
          <w:color w:val="000000"/>
          <w:sz w:val="20"/>
        </w:rPr>
        <w:t xml:space="preserve">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2911"/>
        <w:gridCol w:w="146"/>
        <w:gridCol w:w="451"/>
        <w:gridCol w:w="146"/>
        <w:gridCol w:w="146"/>
        <w:gridCol w:w="1036"/>
        <w:gridCol w:w="146"/>
        <w:gridCol w:w="146"/>
        <w:gridCol w:w="146"/>
        <w:gridCol w:w="1036"/>
        <w:gridCol w:w="146"/>
        <w:gridCol w:w="146"/>
        <w:gridCol w:w="146"/>
        <w:gridCol w:w="93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6,526,863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982,738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25,155,199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3,633,674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27,048,094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31,958,501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4,616,412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Consolidated Statements of Financial Position</w:t>
      </w:r>
      <w:r>
        <w:rPr>
          <w:rFonts w:ascii="Times New Roman" w:hAnsi="Times New Roman"/>
          <w:color w:val="000000"/>
          <w:sz w:val="20"/>
        </w:rPr>
        <w:t xml:space="preserve"> </w:t>
      </w:r>
    </w:p>
    <w:p>
      <w:pPr>
        <w:pStyle w:val="TextBody"/>
        <w:bidi w:val="0"/>
        <w:jc w:val="both"/>
        <w:rPr/>
      </w:pPr>
      <w:r>
        <w:rPr/>
        <w:t> </w:t>
      </w:r>
    </w:p>
    <w:tbl>
      <w:tblPr>
        <w:tblW w:w="9595" w:type="dxa"/>
        <w:jc w:val="left"/>
        <w:tblInd w:w="0" w:type="dxa"/>
        <w:tblLayout w:type="fixed"/>
        <w:tblCellMar>
          <w:top w:w="28" w:type="dxa"/>
          <w:left w:w="28" w:type="dxa"/>
          <w:bottom w:w="28" w:type="dxa"/>
          <w:right w:w="28" w:type="dxa"/>
        </w:tblCellMar>
      </w:tblPr>
      <w:tblGrid>
        <w:gridCol w:w="4576"/>
        <w:gridCol w:w="146"/>
        <w:gridCol w:w="451"/>
        <w:gridCol w:w="146"/>
        <w:gridCol w:w="146"/>
        <w:gridCol w:w="1036"/>
        <w:gridCol w:w="166"/>
        <w:gridCol w:w="146"/>
        <w:gridCol w:w="146"/>
        <w:gridCol w:w="1036"/>
        <w:gridCol w:w="166"/>
        <w:gridCol w:w="146"/>
        <w:gridCol w:w="146"/>
        <w:gridCol w:w="93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components of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14,493,740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taxation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18,079,275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2,611,555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14,748,529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19,062,882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2,753,637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27,048,094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31,958,501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4,616,412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45" w:name="consolidated_statement_of_changes_in_eq"/>
      <w:bookmarkEnd w:id="45"/>
      <w:r>
        <w:rPr>
          <w:rFonts w:ascii="Times New Roman" w:hAnsi="Times New Roman"/>
          <w:b/>
          <w:color w:val="000000"/>
          <w:sz w:val="20"/>
        </w:rPr>
        <w:t>Consolidated Statements of Changes in Equity</w:t>
      </w:r>
      <w:r>
        <w:rPr>
          <w:rFonts w:ascii="Times New Roman" w:hAnsi="Times New Roman"/>
          <w:color w:val="000000"/>
          <w:sz w:val="20"/>
        </w:rPr>
        <w:t xml:space="preserve"> </w:t>
      </w:r>
    </w:p>
    <w:p>
      <w:pPr>
        <w:pStyle w:val="TextBody"/>
        <w:bidi w:val="0"/>
        <w:jc w:val="left"/>
        <w:rPr/>
      </w:pPr>
      <w:r>
        <w:rPr/>
        <w:t> </w:t>
      </w:r>
    </w:p>
    <w:tbl>
      <w:tblPr>
        <w:tblW w:w="14887" w:type="dxa"/>
        <w:jc w:val="left"/>
        <w:tblInd w:w="0" w:type="dxa"/>
        <w:tblLayout w:type="fixed"/>
        <w:tblCellMar>
          <w:top w:w="28" w:type="dxa"/>
          <w:left w:w="28" w:type="dxa"/>
          <w:bottom w:w="28" w:type="dxa"/>
          <w:right w:w="28" w:type="dxa"/>
        </w:tblCellMar>
      </w:tblPr>
      <w:tblGrid>
        <w:gridCol w:w="1216"/>
        <w:gridCol w:w="146"/>
        <w:gridCol w:w="146"/>
        <w:gridCol w:w="826"/>
        <w:gridCol w:w="146"/>
        <w:gridCol w:w="146"/>
        <w:gridCol w:w="146"/>
        <w:gridCol w:w="691"/>
        <w:gridCol w:w="146"/>
        <w:gridCol w:w="146"/>
        <w:gridCol w:w="146"/>
        <w:gridCol w:w="661"/>
        <w:gridCol w:w="166"/>
        <w:gridCol w:w="146"/>
        <w:gridCol w:w="146"/>
        <w:gridCol w:w="826"/>
        <w:gridCol w:w="166"/>
        <w:gridCol w:w="146"/>
        <w:gridCol w:w="163"/>
        <w:gridCol w:w="738"/>
        <w:gridCol w:w="166"/>
        <w:gridCol w:w="146"/>
        <w:gridCol w:w="205"/>
        <w:gridCol w:w="846"/>
        <w:gridCol w:w="146"/>
        <w:gridCol w:w="146"/>
        <w:gridCol w:w="146"/>
        <w:gridCol w:w="661"/>
        <w:gridCol w:w="166"/>
        <w:gridCol w:w="146"/>
        <w:gridCol w:w="183"/>
        <w:gridCol w:w="718"/>
        <w:gridCol w:w="166"/>
        <w:gridCol w:w="146"/>
        <w:gridCol w:w="146"/>
        <w:gridCol w:w="826"/>
        <w:gridCol w:w="166"/>
        <w:gridCol w:w="146"/>
        <w:gridCol w:w="146"/>
        <w:gridCol w:w="826"/>
        <w:gridCol w:w="166"/>
        <w:gridCol w:w="146"/>
        <w:gridCol w:w="146"/>
        <w:gridCol w:w="916"/>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6"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 the equity holders of the 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b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Statutory</w:t>
              <w:br/>
              <w:t>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br/>
              <w:t>reserves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br/>
              <w:t>shares</w:t>
              <w:br/>
              <w:t>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Discount on/ (premium</w:t>
              <w:br/>
              <w:t>paid for)</w:t>
              <w:br/>
              <w:t>acquisition</w:t>
              <w:br/>
              <w:t>of 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6,661,264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9,008,946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11,835,064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Other comprehensive income for the </w:t>
              <w:br/>
              <w:t>   year,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Contributions by and distributions to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 by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Dividends paid (US$0.28</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Transaction with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paid/payable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Change in ownership interests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Dilution of interest in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 to statutory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put option to non-controlling interests</w:t>
              <w:br/>
              <w:t>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6,820,555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9,226,528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12,175,625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Consolidated Statements of Changes in Equity</w:t>
      </w:r>
      <w:r>
        <w:rPr>
          <w:rFonts w:ascii="Times New Roman" w:hAnsi="Times New Roman"/>
          <w:color w:val="000000"/>
          <w:sz w:val="20"/>
        </w:rPr>
        <w:t xml:space="preserve"> </w:t>
      </w:r>
    </w:p>
    <w:p>
      <w:pPr>
        <w:pStyle w:val="TextBody"/>
        <w:bidi w:val="0"/>
        <w:jc w:val="both"/>
        <w:rPr/>
      </w:pPr>
      <w:r>
        <w:rPr/>
        <w:t> </w:t>
      </w:r>
    </w:p>
    <w:tbl>
      <w:tblPr>
        <w:tblW w:w="16096" w:type="dxa"/>
        <w:jc w:val="left"/>
        <w:tblInd w:w="0" w:type="dxa"/>
        <w:tblLayout w:type="fixed"/>
        <w:tblCellMar>
          <w:top w:w="28" w:type="dxa"/>
          <w:left w:w="28" w:type="dxa"/>
          <w:bottom w:w="28" w:type="dxa"/>
          <w:right w:w="28" w:type="dxa"/>
        </w:tblCellMar>
      </w:tblPr>
      <w:tblGrid>
        <w:gridCol w:w="1216"/>
        <w:gridCol w:w="146"/>
        <w:gridCol w:w="146"/>
        <w:gridCol w:w="826"/>
        <w:gridCol w:w="146"/>
        <w:gridCol w:w="146"/>
        <w:gridCol w:w="146"/>
        <w:gridCol w:w="751"/>
        <w:gridCol w:w="166"/>
        <w:gridCol w:w="146"/>
        <w:gridCol w:w="146"/>
        <w:gridCol w:w="691"/>
        <w:gridCol w:w="146"/>
        <w:gridCol w:w="146"/>
        <w:gridCol w:w="146"/>
        <w:gridCol w:w="661"/>
        <w:gridCol w:w="166"/>
        <w:gridCol w:w="146"/>
        <w:gridCol w:w="146"/>
        <w:gridCol w:w="826"/>
        <w:gridCol w:w="166"/>
        <w:gridCol w:w="146"/>
        <w:gridCol w:w="163"/>
        <w:gridCol w:w="738"/>
        <w:gridCol w:w="166"/>
        <w:gridCol w:w="146"/>
        <w:gridCol w:w="205"/>
        <w:gridCol w:w="846"/>
        <w:gridCol w:w="146"/>
        <w:gridCol w:w="146"/>
        <w:gridCol w:w="146"/>
        <w:gridCol w:w="661"/>
        <w:gridCol w:w="166"/>
        <w:gridCol w:w="146"/>
        <w:gridCol w:w="163"/>
        <w:gridCol w:w="738"/>
        <w:gridCol w:w="166"/>
        <w:gridCol w:w="146"/>
        <w:gridCol w:w="146"/>
        <w:gridCol w:w="826"/>
        <w:gridCol w:w="166"/>
        <w:gridCol w:w="146"/>
        <w:gridCol w:w="146"/>
        <w:gridCol w:w="826"/>
        <w:gridCol w:w="166"/>
        <w:gridCol w:w="146"/>
        <w:gridCol w:w="146"/>
        <w:gridCol w:w="916"/>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5"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 the equity holders of the 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b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Statutory</w:t>
              <w:br/>
              <w:t>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br/>
              <w:t>reserves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br/>
              <w:t>shares</w:t>
              <w:br/>
              <w:t>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Discount on/ (premium</w:t>
              <w:br/>
              <w:t>paid for)</w:t>
              <w:br/>
              <w:t>acquisition</w:t>
              <w:br/>
              <w:t>of 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6,820,555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9,226,528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12,175,625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491,742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Other comprehensive income for the </w:t>
              <w:br/>
              <w:t>   year,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Contributions by and distributions to owners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 by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Dividends paid (US$0.38</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Transaction with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Dividends paid/payable to non-controlling </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Change in ownership interests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Dilution of interest in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Acquisition of non-controlling interest </w:t>
              <w:br/>
              <w:t>   without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 to statutory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6,979,738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9,164,625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12,299,565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Consolidated Statements of Changes in Equity</w:t>
      </w:r>
      <w:r>
        <w:rPr>
          <w:rFonts w:ascii="Times New Roman" w:hAnsi="Times New Roman"/>
          <w:color w:val="000000"/>
          <w:sz w:val="20"/>
        </w:rPr>
        <w:t xml:space="preserve"> </w:t>
      </w:r>
    </w:p>
    <w:p>
      <w:pPr>
        <w:pStyle w:val="TextBody"/>
        <w:bidi w:val="0"/>
        <w:jc w:val="both"/>
        <w:rPr/>
      </w:pPr>
      <w:r>
        <w:rPr/>
        <w:t> </w:t>
      </w:r>
    </w:p>
    <w:tbl>
      <w:tblPr>
        <w:tblW w:w="16060" w:type="dxa"/>
        <w:jc w:val="left"/>
        <w:tblInd w:w="0" w:type="dxa"/>
        <w:tblLayout w:type="fixed"/>
        <w:tblCellMar>
          <w:top w:w="28" w:type="dxa"/>
          <w:left w:w="28" w:type="dxa"/>
          <w:bottom w:w="28" w:type="dxa"/>
          <w:right w:w="28" w:type="dxa"/>
        </w:tblCellMar>
      </w:tblPr>
      <w:tblGrid>
        <w:gridCol w:w="1216"/>
        <w:gridCol w:w="146"/>
        <w:gridCol w:w="826"/>
        <w:gridCol w:w="146"/>
        <w:gridCol w:w="146"/>
        <w:gridCol w:w="146"/>
        <w:gridCol w:w="751"/>
        <w:gridCol w:w="166"/>
        <w:gridCol w:w="146"/>
        <w:gridCol w:w="146"/>
        <w:gridCol w:w="751"/>
        <w:gridCol w:w="166"/>
        <w:gridCol w:w="146"/>
        <w:gridCol w:w="146"/>
        <w:gridCol w:w="691"/>
        <w:gridCol w:w="166"/>
        <w:gridCol w:w="146"/>
        <w:gridCol w:w="146"/>
        <w:gridCol w:w="826"/>
        <w:gridCol w:w="166"/>
        <w:gridCol w:w="146"/>
        <w:gridCol w:w="163"/>
        <w:gridCol w:w="738"/>
        <w:gridCol w:w="166"/>
        <w:gridCol w:w="146"/>
        <w:gridCol w:w="205"/>
        <w:gridCol w:w="846"/>
        <w:gridCol w:w="146"/>
        <w:gridCol w:w="146"/>
        <w:gridCol w:w="146"/>
        <w:gridCol w:w="661"/>
        <w:gridCol w:w="166"/>
        <w:gridCol w:w="146"/>
        <w:gridCol w:w="163"/>
        <w:gridCol w:w="738"/>
        <w:gridCol w:w="166"/>
        <w:gridCol w:w="146"/>
        <w:gridCol w:w="146"/>
        <w:gridCol w:w="826"/>
        <w:gridCol w:w="166"/>
        <w:gridCol w:w="146"/>
        <w:gridCol w:w="146"/>
        <w:gridCol w:w="826"/>
        <w:gridCol w:w="166"/>
        <w:gridCol w:w="146"/>
        <w:gridCol w:w="146"/>
        <w:gridCol w:w="916"/>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5"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Attributable to the equity holders of the Company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b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Statutory</w:t>
              <w:br/>
              <w:t>reserves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br/>
              <w:t>reserves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br/>
              <w:t>shares</w:t>
              <w:br/>
              <w:t>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Discount on/ (premium</w:t>
              <w:br/>
              <w:t>paid for)</w:t>
              <w:br/>
              <w:t>acquisition</w:t>
              <w:br/>
              <w:t>of 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controlling</w:t>
              <w:b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6,979,738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9,164,625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3,134,940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12,299,565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Profit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810,501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Other comprehensive income for the </w:t>
              <w:br/>
              <w:t>   year,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income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Contributions by and distributions to</w:t>
              <w:br/>
              <w:t>   owners</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 by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Dividends paid (US$0.53</w:t>
            </w:r>
            <w:r>
              <w:rPr>
                <w:rFonts w:ascii="Times New Roman" w:hAnsi="Times New Roman"/>
                <w:color w:val="000000"/>
                <w:sz w:val="20"/>
              </w:rPr>
              <w:t> </w:t>
            </w:r>
            <w:r>
              <w:rPr>
                <w:rFonts w:ascii="Times New Roman" w:hAnsi="Times New Roman"/>
                <w:color w:val="000000"/>
                <w:sz w:val="16"/>
              </w:rPr>
              <w:t>per share)</w:t>
              <w:br/>
              <w:t>   (Note 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a subsidiary to a joint stock</w:t>
              <w:br/>
              <w:t>   limited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Transaction with non-controlling interests</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Dividends paid/payable to non-controlling </w:t>
              <w:br/>
              <w: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Change in ownership interests in</w:t>
              <w:br/>
              <w:t>   subsidiaries</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Dilution of interest in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Acquisition of non-controlling interest </w:t>
              <w:br/>
              <w:t>   without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Other</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 to statutory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At December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6,953,671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9,580,961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3,314,658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12,895,619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
        </w:rPr>
        <w: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46" w:name="consolidated_statement_of_cash_flows"/>
      <w:bookmarkEnd w:id="46"/>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54"/>
        <w:gridCol w:w="146"/>
        <w:gridCol w:w="146"/>
        <w:gridCol w:w="931"/>
        <w:gridCol w:w="166"/>
        <w:gridCol w:w="146"/>
        <w:gridCol w:w="146"/>
        <w:gridCol w:w="931"/>
        <w:gridCol w:w="166"/>
        <w:gridCol w:w="146"/>
        <w:gridCol w:w="146"/>
        <w:gridCol w:w="931"/>
        <w:gridCol w:w="166"/>
        <w:gridCol w:w="146"/>
        <w:gridCol w:w="146"/>
        <w:gridCol w:w="781"/>
        <w:gridCol w:w="211"/>
      </w:tblGrid>
      <w:tr>
        <w:trPr/>
        <w:tc>
          <w:tcPr>
            <w:tcW w:w="4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 debt written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investment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(gain)/loss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losses 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development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trade and non-trade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technology know-how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liquidation of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liquidation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written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of associates and joint ventures,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before tax after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4"/>
        <w:gridCol w:w="146"/>
        <w:gridCol w:w="146"/>
        <w:gridCol w:w="931"/>
        <w:gridCol w:w="166"/>
        <w:gridCol w:w="146"/>
        <w:gridCol w:w="146"/>
        <w:gridCol w:w="991"/>
        <w:gridCol w:w="166"/>
        <w:gridCol w:w="146"/>
        <w:gridCol w:w="146"/>
        <w:gridCol w:w="991"/>
        <w:gridCol w:w="166"/>
        <w:gridCol w:w="146"/>
        <w:gridCol w:w="146"/>
        <w:gridCol w:w="841"/>
        <w:gridCol w:w="211"/>
      </w:tblGrid>
      <w:tr>
        <w:trPr/>
        <w:tc>
          <w:tcPr>
            <w:tcW w:w="4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 and capitalized contract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 and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utilized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investment in a joint venture and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received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inflow/(outflow) from disposal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associate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subsidiary, net of cash disposed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liquidation of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(Placement)/withdrawal of fixed deposits with banks,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4"/>
        <w:gridCol w:w="146"/>
        <w:gridCol w:w="146"/>
        <w:gridCol w:w="991"/>
        <w:gridCol w:w="166"/>
        <w:gridCol w:w="146"/>
        <w:gridCol w:w="146"/>
        <w:gridCol w:w="991"/>
        <w:gridCol w:w="166"/>
        <w:gridCol w:w="146"/>
        <w:gridCol w:w="146"/>
        <w:gridCol w:w="991"/>
        <w:gridCol w:w="166"/>
        <w:gridCol w:w="146"/>
        <w:gridCol w:w="146"/>
        <w:gridCol w:w="931"/>
        <w:gridCol w:w="211"/>
      </w:tblGrid>
      <w:tr>
        <w:trPr/>
        <w:tc>
          <w:tcPr>
            <w:tcW w:w="4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 and discounting on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 by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principal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balances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5,915,916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The accompanying accounting policies and explanatory notes form an integral part of the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47" w:name="notes_to_the_consolidated_financial_sta"/>
      <w:bookmarkEnd w:id="47"/>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Corporate information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Incorporation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of China Yuchai International Limited (the “Company”) and its subsidiaries (collectively, the “Group”) for the year ended December 31, 2025 were authorized for issue on April 29, 2026 in accordance with a resolution of the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China Yuchai International Limited is a limited company incorporated under the laws of Bermuda on April 29, 1993 whose shares are publicly traded. The registered office of the Company is located at Clarendon House, 2 Church Street, Hamilton HM11, Bermuda. On March 7, 2008, the Company registered a branch office in Singapore, located at 16 Raffles Quay #26-00, Hong Leong Building, Singapore 048581. The principal operating office is located at 16 Raffles Quay #39-01A, Hong Leong Building, Singapore 048581.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Investment in Guangxi Yuchai Machinery Company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was established to acquire a controlling financial interest in Guangxi Yuchai Machinery Company Limited (“Yuchai”), located in the People’s Republic of China (the “PRC”), which is one of the largest powertrain solution manufacturers for on-road and off-road applications.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owns, through six wholly-owned subsidiaries, 361,420,150 shares or 76.4% of the issued share capital of Yuchai. Guangxi Yuchai Machinery Group Company Limited (“GY”), a state-owned enterprise, owns 22.1% of the issued share capital of Yuchai.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detailed information of Yuchai’s significant subsidiaries, associates and joint ventures are disclosed in Notes 4, 5 and 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used in this Consolidated Financial Statements, the term “Yuchai” refer to Guangxi Yuchai Machinery Company Limited and its subsidiaries.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Investment in HL Global Enterprises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2006, the Group acquired debt and equity securities interest in HL Global Enterprises Limited (“HLGE”) through the Group’s wholly-owned subsidiaries, Grace Star Limited (“Grace Star”) and Venture Lewis Limited (“Venture Lewis’). HLGE is a public company listed on the Main Board of the Singapore Exchange Securities Trading Limited (“Singapore Exchange”) and primarily engaged in investment holding, and through its group companies, invests in rental property, hospitality and property developments in Asia.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Subsequent to the acquisition, the Group’s shareholding changed through various transactions. As of December 31, 2011, the Group’s equity interest in HLGE was 49.4%.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13, 2012, Grace Star transferred 24,189,170 Series B redeemable convertible preference shares (“RCPS”), representing 100% of remaining unconverted Series B RCPS, in the capital of HLGE (the “Trust Preference Shares”) to the Trustee pursuant to a trust deed entered into between HLGE and the Trustee. On January 16, 2012, the Trust Preference Shares were mandatorily converted into 24,189,170 new ordinary shares in the capital of HLGE (the “Trust Shares”) resulting in the Group’s shareholding interest in HLGE decreased from 49.4% to 48.1%. On April 4, 2012, as a result of the conversion of all the outstanding Series A redeemable convertible preference shares held by Venture Delta Limited and Grace Star, into new ordinary shares in the capital of HLGE, the Group’s shareholding interest in HLGE increased from 48.1% to 48.9%. The Trust Shares are accounted for as treasury shares by HLGE, issued by HLGE and held by the Trust, which is considered as part of HLGE. As a result, the Group’s shareholding interest in HLGE is stated as 50.1%, based on the total outstanding ordinary shares of HLGE, net of the ordinary shares held by the Trustee under the Trust.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Corporate information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Investment in HL Global Enterprises Limited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2013, the Group’s interest in HLGE remained at 50.1%, based on the total outstanding ordinary shares of HLGE, net of the ordinary shares held by the Trustee under the Trust.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2014, the Group purchased in the open market an aggregate of 465,000 ordinary shares in the capital of HLGE. As of December 31, 2014, the Group’s interest in HLGE increased from 50.1% to 50.2%, net of the ordinary shares held by the Trustee under the Trust.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2015, HLGE undertook a share consolidation exercise to consolidate every 10 ordinary shares in the capital of HLGE into one ordinary share. Upon completion of the share consolidation exercise, the Group held 47,107,707 ordinary shares of HLGE. As of December 31, 2015, the Group’s interest in HLGE was 50.2%, net of the ordinary shares held by the Trustee under the Trust.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the Group’s shareholding interest in HLGE remains at 50.2%, net of the ordinary shares held by the Trustee under the Trust.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the Group purchased 200,000 ordinary shares in the capital of HLGE. As of December 31, 2025, the Group’s shareholding interest in HLGE increased from 50.2% to 50.4%, net of the ordinary shares held by the Trustee under the Trust.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considers HLGE a subsidiary as it has power to exercise effective control and direct the activities of HLGE that most significantly affect its economic performance and has the exposure or rights to receive benefits from HLGE from its involvement.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Accounting policies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Basis of preparation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financial statements of the Group have been prepared in accordance with IFRS Accounting Standards as issued by the International Accounting Standards Board (“IASB”).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financial statements have been prepared on a historical cost basis except as disclosed in the accounting policies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financial statements are presented in Renminbi (“RMB”) and all values are rounded to the nearest thousand (“RMB’000”), except when otherwise indicated.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Translation of amounts from Renminbi to the United States Dollar (“US Dollar”) is solely for the convenience of the reader. Translation of amounts from Renminbi to US Dollar has been made at the rate of RMB 6.9228 = US$ 1.00, the rate quoted by the People’s Bank of China at the close of business on February 27, 2026 and all values are rounded to the nearest thousand (“US$’000”), except when otherwise indicated.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Changes in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accounting policies adopted are consistent with those previous financial years except that in the current financial year, the Group has adopted all the new and revised standards which are effective for annual financial periods beginning on or after January 1, 2025. The adoption of these standards did not have any material effect on the financial performance or position of the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Standards issued but not yet effective</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IFRS 18 </w:t>
      </w:r>
      <w:r>
        <w:rPr>
          <w:rFonts w:ascii="Times New Roman" w:hAnsi="Times New Roman"/>
          <w:b/>
          <w:i/>
          <w:color w:val="000000"/>
          <w:sz w:val="20"/>
        </w:rPr>
        <w:t>Presentation and Disclosure in Financial Statements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April 2024, the IASB issued IFRS 18, which replaces IAS 1 </w:t>
      </w:r>
      <w:r>
        <w:rPr>
          <w:rFonts w:ascii="Times New Roman" w:hAnsi="Times New Roman"/>
          <w:i/>
          <w:color w:val="000000"/>
          <w:sz w:val="20"/>
        </w:rPr>
        <w:t>Presentation of Financial Statements</w:t>
      </w:r>
      <w:r>
        <w:rPr>
          <w:rFonts w:ascii="Times New Roman" w:hAnsi="Times New Roman"/>
          <w:color w:val="000000"/>
          <w:sz w:val="20"/>
        </w:rPr>
        <w:t>.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addition, narrow-scope amendments have been made to IAS 7 </w:t>
      </w:r>
      <w:r>
        <w:rPr>
          <w:rFonts w:ascii="Times New Roman" w:hAnsi="Times New Roman"/>
          <w:i/>
          <w:color w:val="000000"/>
          <w:sz w:val="20"/>
        </w:rPr>
        <w:t>Statement of Cash Flows</w:t>
      </w:r>
      <w:r>
        <w:rPr>
          <w:rFonts w:ascii="Times New Roman" w:hAnsi="Times New Roman"/>
          <w:color w:val="000000"/>
          <w:sz w:val="20"/>
        </w:rPr>
        <w:t>,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IFRS 18, and the amendments to the other standards, is effective for reporting periods beginning on or after January 1, 2027, but earlier application is permitted and must be disclosed. IFRS 18 will apply retrospectively.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is currently working to identify all impacts the amendments will have on the primary financial statements and notes to the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IFRS 19 </w:t>
      </w:r>
      <w:r>
        <w:rPr>
          <w:rFonts w:ascii="Times New Roman" w:hAnsi="Times New Roman"/>
          <w:b/>
          <w:i/>
          <w:color w:val="000000"/>
          <w:sz w:val="20"/>
        </w:rPr>
        <w:t>Subsidiaries without Public Accountability: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the IASB issued IFRS 19, which allows eligible entities to elect to apply its reduced disclosure requirements while still applying the recognition, measurement and presentation requirements in other IFRS Accounting Standards. To be eligible, at the end of the reporting period, an entity must be a subsidiary as defined in IFRS 10, cannot have public accountability and must have a parent (ultimate or intermediate) that prepares consolidated financial statements, available for public use, which comply with IFRS Accounting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IFRS 19 will become effective for reporting periods beginning on or after January 1, 2027, with early application permitted.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the Group’s equity instruments are publicly traded, it is not eligible to elect to apply IFRS 19.</w:t>
      </w:r>
    </w:p>
    <w:p>
      <w:pPr>
        <w:pStyle w:val="TextBody"/>
        <w:bidi w:val="0"/>
        <w:spacing w:before="240" w:after="283"/>
        <w:jc w:val="both"/>
        <w:rPr>
          <w:rFonts w:ascii="Times New Roman" w:hAnsi="Times New Roman"/>
          <w:sz w:val="20"/>
        </w:rPr>
      </w:pPr>
      <w:r>
        <w:rPr>
          <w:rFonts w:ascii="Times New Roman" w:hAnsi="Times New Roman"/>
          <w:b/>
          <w:i/>
          <w:color w:val="000000"/>
          <w:sz w:val="20"/>
        </w:rPr>
        <w:t>Amendments to the Classification and Measurement of Financial Instruments - Amendments to IFRS 9 and IFRS 7</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2024, the IASB issued </w:t>
      </w:r>
      <w:r>
        <w:rPr>
          <w:rFonts w:ascii="Times New Roman" w:hAnsi="Times New Roman"/>
          <w:i/>
          <w:color w:val="000000"/>
          <w:sz w:val="20"/>
        </w:rPr>
        <w:t>Amendments to the</w:t>
      </w:r>
      <w:r>
        <w:rPr>
          <w:rFonts w:ascii="Times New Roman" w:hAnsi="Times New Roman"/>
          <w:color w:val="000000"/>
          <w:sz w:val="20"/>
        </w:rPr>
        <w:t xml:space="preserve"> </w:t>
      </w:r>
      <w:r>
        <w:rPr>
          <w:rFonts w:ascii="Times New Roman" w:hAnsi="Times New Roman"/>
          <w:i/>
          <w:color w:val="000000"/>
          <w:sz w:val="20"/>
        </w:rPr>
        <w:t>Classification and Measurement of Financial Instruments</w:t>
      </w:r>
      <w:r>
        <w:rPr>
          <w:rFonts w:ascii="Times New Roman" w:hAnsi="Times New Roman"/>
          <w:color w:val="000000"/>
          <w:sz w:val="20"/>
        </w:rPr>
        <w:t xml:space="preserve"> (</w:t>
      </w:r>
      <w:r>
        <w:rPr>
          <w:rFonts w:ascii="Times New Roman" w:hAnsi="Times New Roman"/>
          <w:i/>
          <w:color w:val="000000"/>
          <w:sz w:val="20"/>
        </w:rPr>
        <w:t>Amendments to IFRS 9 and IFRS 7</w:t>
      </w:r>
      <w:r>
        <w:rPr>
          <w:rFonts w:ascii="Times New Roman" w:hAnsi="Times New Roman"/>
          <w:color w:val="000000"/>
          <w:sz w:val="20"/>
        </w:rPr>
        <w:t xml:space="preserve">), which: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clarification that a financial liability is derecognized on the ‘settlement date’ and the introduction of an accounting policy choice (if specific conditions are met) to derecognize financial liabilities settled using an electronic payment system before the settlement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guidance on how the contractual cash flows for financial assets with environmental, social and corporate governance (ESG) and similar features should be assessed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Clarifications on what constitute ‘non-recourse features’ and what are the characteristics of contractually linked instruments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introduction of disclosures for financial instruments with contingent features and additional disclosure requirements for equity instruments classified at fair value through other comprehensive income (OCI)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Amendments are effective for annual periods starting on or after January 1, 2026 with early adoption permitted for classification of financial assets and related disclosures only. The amendments are not expected to have a material impact on the Group.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Standards issued but not yet effective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Contracts Referencing Nature-dependent Electricity – Amendments to IFRS 9 and IFRS 7</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2024, the IASB issued Amendments to IFRS 9 and IFRS 7 - </w:t>
      </w:r>
      <w:r>
        <w:rPr>
          <w:rFonts w:ascii="Times New Roman" w:hAnsi="Times New Roman"/>
          <w:i/>
          <w:color w:val="000000"/>
          <w:sz w:val="20"/>
        </w:rPr>
        <w:t>Contracts Referencing Nature-dependent Electricity</w:t>
      </w:r>
      <w:r>
        <w:rPr>
          <w:rFonts w:ascii="Times New Roman" w:hAnsi="Times New Roman"/>
          <w:color w:val="000000"/>
          <w:sz w:val="20"/>
        </w:rPr>
        <w:t>. The amendments apply only to contracts that reference nature-dependent electricity; the amendments: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Clarify the application of the ‘own-use’ requirements for in-scope contracts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Amend the designation requirements for a hedged item in a cash flow hedging relationship for in-scope contracts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 new disclosure requirements to enable investors to understand the effect of these contracts on a company’s financial performance and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amendments will take effect for annual reporting periods starting on or after January 1, 2026. Early adoption is allowed, but it must be disclosed. The amendments concerning the own-use exception are to be applied retrospectively, while the hedge accounting amendments should be applied prospectively to new hedging relationships designated from the initial application date. Additionally, the IFRS 7 disclosure amendments must be implemented alongside the IFRS 9 amendments. If an entity does not restate comparative information, it cannot present comparative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amendments are not expected to have a material impact on the Group.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Standards issued but not yet effective (cont’d)</w:t>
      </w:r>
    </w:p>
    <w:p>
      <w:pPr>
        <w:pStyle w:val="TextBody"/>
        <w:bidi w:val="0"/>
        <w:spacing w:before="120" w:after="283"/>
        <w:jc w:val="both"/>
        <w:rPr>
          <w:rFonts w:ascii="Times New Roman" w:hAnsi="Times New Roman"/>
          <w:sz w:val="20"/>
        </w:rPr>
      </w:pPr>
      <w:r>
        <w:rPr>
          <w:rFonts w:ascii="Times New Roman" w:hAnsi="Times New Roman"/>
          <w:b/>
          <w:i/>
          <w:color w:val="000000"/>
          <w:sz w:val="20"/>
        </w:rPr>
        <w:t>Annual Improvements to IFRS Accounting Standards — Volume 11</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2024, the IASB issued Annual Improvements to IFRS Accounting Standards — Volume 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amendments from the Annual Improvements to IFRS Accounting Standards —Volume 11: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IFRS 1 </w:t>
            </w:r>
            <w:r>
              <w:rPr>
                <w:rFonts w:ascii="Times New Roman" w:hAnsi="Times New Roman"/>
                <w:i/>
                <w:color w:val="000000"/>
                <w:sz w:val="20"/>
              </w:rPr>
              <w:t>First-time Adoption of International Financial Reporting Standards</w:t>
            </w:r>
          </w:p>
        </w:tc>
        <w:tc>
          <w:tcPr>
            <w:tcW w:w="7831" w:type="dxa"/>
            <w:tcBorders/>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Hedge Accounting by a First-time Adopter</w:t>
            </w:r>
          </w:p>
        </w:tc>
      </w:tr>
      <w:tr>
        <w:trPr/>
        <w:tc>
          <w:tcPr>
            <w:tcW w:w="2374" w:type="dxa"/>
            <w:vMerge w:val="continue"/>
            <w:tcBorders/>
            <w:tcMar>
              <w:top w:w="0" w:type="dxa"/>
              <w:left w:w="0" w:type="dxa"/>
              <w:bottom w:w="0" w:type="dxa"/>
              <w:right w:w="0" w:type="dxa"/>
            </w:tcMar>
            <w:vAlign w:val="center"/>
          </w:tcPr>
          <w:p>
            <w:pPr>
              <w:pStyle w:val="Normal"/>
              <w:bidi w:val="0"/>
              <w:jc w:val="left"/>
              <w:rPr/>
            </w:pPr>
            <w:r>
              <w:rPr/>
            </w:r>
          </w:p>
        </w:tc>
        <w:tc>
          <w:tcPr>
            <w:tcW w:w="78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Paragraphs B5 and B6 of IFRS 1 have been amended to include cross references to the qualifying criteria for hedge accounting in paragraph 6.4.1(a), (b) and (c) of IFRS 9. These amendments are intended to address potential confusion arising from an inconsistency between the wording in IFRS 1 and the requirements for hedge accounting in IFRS 9.</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An entity applies the amendments for annual reporting periods beginning on or after January 1, 2026. Earlier application is permitted.</w:t>
            </w:r>
          </w:p>
        </w:tc>
      </w:tr>
      <w:tr>
        <w:trPr/>
        <w:tc>
          <w:tcPr>
            <w:tcW w:w="2374" w:type="dxa"/>
            <w:vMerge w:val="restart"/>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IFRS 7 </w:t>
            </w:r>
            <w:r>
              <w:rPr>
                <w:rFonts w:ascii="Times New Roman" w:hAnsi="Times New Roman"/>
                <w:i/>
                <w:color w:val="000000"/>
                <w:sz w:val="20"/>
              </w:rPr>
              <w:t>Financial Instruments:</w:t>
              <w:br/>
              <w:t>Disclosures</w:t>
            </w:r>
          </w:p>
        </w:tc>
        <w:tc>
          <w:tcPr>
            <w:tcW w:w="7831" w:type="dxa"/>
            <w:tcBorders/>
            <w:shd w:fill="CFF0FC" w:val="clear"/>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Gain or Loss on Derecognition</w:t>
            </w:r>
          </w:p>
        </w:tc>
      </w:tr>
      <w:tr>
        <w:trPr/>
        <w:tc>
          <w:tcPr>
            <w:tcW w:w="2374"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7831" w:type="dxa"/>
            <w:tcBorders/>
            <w:shd w:fill="CFF0FC" w:val="clear"/>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color w:val="000000"/>
                <w:sz w:val="20"/>
              </w:rPr>
              <w:t xml:space="preserve">The amendments update the language on unobservable inputs in paragraph B38 of IFRS 7 and include a cross reference to paragraphs 72 and 73 of IFRS 13 </w:t>
            </w:r>
            <w:r>
              <w:rPr>
                <w:rFonts w:ascii="Times New Roman" w:hAnsi="Times New Roman"/>
                <w:i/>
                <w:color w:val="000000"/>
                <w:sz w:val="20"/>
              </w:rPr>
              <w:t>Fair Value Measurement</w:t>
            </w:r>
            <w:r>
              <w:rPr>
                <w:rFonts w:ascii="Times New Roman" w:hAnsi="Times New Roman"/>
                <w:color w:val="000000"/>
                <w:sz w:val="20"/>
              </w:rPr>
              <w:t>.</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An entity applies the amendments for annual reporting periods beginning on or after January 1, 2026. Earlier application is permitted.</w:t>
            </w:r>
          </w:p>
        </w:tc>
      </w:tr>
      <w:tr>
        <w:trPr/>
        <w:tc>
          <w:tcPr>
            <w:tcW w:w="2374"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Guidance on implementing IFRS 7 </w:t>
            </w:r>
            <w:r>
              <w:rPr>
                <w:rFonts w:ascii="Times New Roman" w:hAnsi="Times New Roman"/>
                <w:i/>
                <w:color w:val="000000"/>
                <w:sz w:val="20"/>
              </w:rPr>
              <w:t>Financial Instruments:</w:t>
              <w:br/>
              <w:t>Disclosures</w:t>
            </w:r>
          </w:p>
        </w:tc>
        <w:tc>
          <w:tcPr>
            <w:tcW w:w="7831" w:type="dxa"/>
            <w:tcBorders/>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Introduction</w:t>
            </w:r>
          </w:p>
        </w:tc>
      </w:tr>
      <w:tr>
        <w:trPr/>
        <w:tc>
          <w:tcPr>
            <w:tcW w:w="2374" w:type="dxa"/>
            <w:vMerge w:val="continue"/>
            <w:tcBorders/>
            <w:tcMar>
              <w:top w:w="0" w:type="dxa"/>
              <w:left w:w="0" w:type="dxa"/>
              <w:bottom w:w="0" w:type="dxa"/>
              <w:right w:w="0" w:type="dxa"/>
            </w:tcMar>
            <w:vAlign w:val="center"/>
          </w:tcPr>
          <w:p>
            <w:pPr>
              <w:pStyle w:val="Normal"/>
              <w:bidi w:val="0"/>
              <w:jc w:val="left"/>
              <w:rPr/>
            </w:pPr>
            <w:r>
              <w:rPr/>
            </w:r>
          </w:p>
        </w:tc>
        <w:tc>
          <w:tcPr>
            <w:tcW w:w="7831" w:type="dxa"/>
            <w:tcBorders/>
            <w:tcMar>
              <w:top w:w="0" w:type="dxa"/>
              <w:left w:w="0" w:type="dxa"/>
              <w:bottom w:w="0" w:type="dxa"/>
              <w:right w:w="0" w:type="dxa"/>
            </w:tcMar>
            <w:vAlign w:val="center"/>
          </w:tcPr>
          <w:p>
            <w:pPr>
              <w:pStyle w:val="TableContents"/>
              <w:bidi w:val="0"/>
              <w:spacing w:before="120" w:after="120"/>
              <w:jc w:val="both"/>
              <w:rPr>
                <w:color w:val="000000"/>
              </w:rPr>
            </w:pPr>
            <w:r>
              <w:rPr>
                <w:color w:val="000000"/>
              </w:rPr>
              <w:t>•</w:t>
            </w:r>
          </w:p>
          <w:p>
            <w:pPr>
              <w:pStyle w:val="TableContents"/>
              <w:bidi w:val="0"/>
              <w:spacing w:before="120" w:after="120"/>
              <w:jc w:val="both"/>
              <w:rPr/>
            </w:pPr>
            <w:r>
              <w:rPr>
                <w:rFonts w:ascii="Times New Roman" w:hAnsi="Times New Roman"/>
                <w:color w:val="000000"/>
                <w:sz w:val="20"/>
              </w:rPr>
              <w:t xml:space="preserve">The amendments to paragraph IG1 of the </w:t>
            </w:r>
            <w:r>
              <w:rPr>
                <w:rFonts w:ascii="Times New Roman" w:hAnsi="Times New Roman"/>
                <w:i/>
                <w:color w:val="000000"/>
                <w:sz w:val="20"/>
              </w:rPr>
              <w:t>Guidance on implementing IFRS 7</w:t>
            </w:r>
            <w:r>
              <w:rPr>
                <w:color w:val="000000"/>
              </w:rPr>
              <w:t xml:space="preserve"> </w:t>
            </w:r>
            <w:r>
              <w:rPr>
                <w:rFonts w:ascii="Times New Roman" w:hAnsi="Times New Roman"/>
                <w:color w:val="000000"/>
                <w:sz w:val="20"/>
              </w:rPr>
              <w:t>clarify that the guidance does not necessarily illustrate all the requirements in the referenced paragraphs of IFRS 7, nor does it create additional requirements.</w:t>
            </w:r>
          </w:p>
        </w:tc>
      </w:tr>
      <w:tr>
        <w:trPr/>
        <w:tc>
          <w:tcPr>
            <w:tcW w:w="2374" w:type="dxa"/>
            <w:vMerge w:val="continue"/>
            <w:tcBorders/>
            <w:tcMar>
              <w:top w:w="0" w:type="dxa"/>
              <w:left w:w="0" w:type="dxa"/>
              <w:bottom w:w="0" w:type="dxa"/>
              <w:right w:w="0" w:type="dxa"/>
            </w:tcMar>
            <w:vAlign w:val="center"/>
          </w:tcPr>
          <w:p>
            <w:pPr>
              <w:pStyle w:val="Normal"/>
              <w:bidi w:val="0"/>
              <w:jc w:val="left"/>
              <w:rPr/>
            </w:pPr>
            <w:r>
              <w:rPr/>
            </w:r>
          </w:p>
        </w:tc>
        <w:tc>
          <w:tcPr>
            <w:tcW w:w="7831" w:type="dxa"/>
            <w:tcBorders/>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Disclosure of Deferred Difference between Fair Value and Transaction Price</w:t>
            </w:r>
          </w:p>
        </w:tc>
      </w:tr>
      <w:tr>
        <w:trPr/>
        <w:tc>
          <w:tcPr>
            <w:tcW w:w="2374" w:type="dxa"/>
            <w:vMerge w:val="continue"/>
            <w:tcBorders/>
            <w:tcMar>
              <w:top w:w="0" w:type="dxa"/>
              <w:left w:w="0" w:type="dxa"/>
              <w:bottom w:w="0" w:type="dxa"/>
              <w:right w:w="0" w:type="dxa"/>
            </w:tcMar>
            <w:vAlign w:val="center"/>
          </w:tcPr>
          <w:p>
            <w:pPr>
              <w:pStyle w:val="Normal"/>
              <w:bidi w:val="0"/>
              <w:jc w:val="left"/>
              <w:rPr/>
            </w:pPr>
            <w:r>
              <w:rPr/>
            </w:r>
          </w:p>
        </w:tc>
        <w:tc>
          <w:tcPr>
            <w:tcW w:w="7831" w:type="dxa"/>
            <w:tcBorders/>
            <w:tcMar>
              <w:top w:w="0" w:type="dxa"/>
              <w:left w:w="0" w:type="dxa"/>
              <w:bottom w:w="0" w:type="dxa"/>
              <w:right w:w="0" w:type="dxa"/>
            </w:tcMar>
            <w:vAlign w:val="center"/>
          </w:tcPr>
          <w:p>
            <w:pPr>
              <w:pStyle w:val="TableContents"/>
              <w:bidi w:val="0"/>
              <w:spacing w:before="120" w:after="120"/>
              <w:jc w:val="both"/>
              <w:rPr>
                <w:color w:val="000000"/>
              </w:rPr>
            </w:pPr>
            <w:r>
              <w:rPr>
                <w:color w:val="000000"/>
              </w:rPr>
              <w:t>•</w:t>
            </w:r>
          </w:p>
          <w:p>
            <w:pPr>
              <w:pStyle w:val="TableContents"/>
              <w:bidi w:val="0"/>
              <w:spacing w:before="120" w:after="120"/>
              <w:jc w:val="both"/>
              <w:rPr/>
            </w:pPr>
            <w:r>
              <w:rPr>
                <w:rFonts w:ascii="Times New Roman" w:hAnsi="Times New Roman"/>
                <w:color w:val="000000"/>
                <w:sz w:val="20"/>
              </w:rPr>
              <w:t xml:space="preserve">Paragraph IG14 of the </w:t>
            </w:r>
            <w:r>
              <w:rPr>
                <w:rFonts w:ascii="Times New Roman" w:hAnsi="Times New Roman"/>
                <w:i/>
                <w:color w:val="000000"/>
                <w:sz w:val="20"/>
              </w:rPr>
              <w:t>Guidance on implementing IFRS 7</w:t>
            </w:r>
            <w:r>
              <w:rPr>
                <w:color w:val="000000"/>
              </w:rPr>
              <w:t xml:space="preserve"> </w:t>
            </w:r>
            <w:r>
              <w:rPr>
                <w:rFonts w:ascii="Times New Roman" w:hAnsi="Times New Roman"/>
                <w:color w:val="000000"/>
                <w:sz w:val="20"/>
              </w:rPr>
              <w:t>has been amended mainly to make the wording consistent with the requirements in paragraph 28 of IFRS 7 and with the concepts and terminology used in IFRS 9 and IFRS 13.</w:t>
            </w:r>
          </w:p>
        </w:tc>
      </w:tr>
      <w:tr>
        <w:trPr/>
        <w:tc>
          <w:tcPr>
            <w:tcW w:w="2374" w:type="dxa"/>
            <w:vMerge w:val="continue"/>
            <w:tcBorders/>
            <w:tcMar>
              <w:top w:w="0" w:type="dxa"/>
              <w:left w:w="0" w:type="dxa"/>
              <w:bottom w:w="0" w:type="dxa"/>
              <w:right w:w="0" w:type="dxa"/>
            </w:tcMar>
            <w:vAlign w:val="center"/>
          </w:tcPr>
          <w:p>
            <w:pPr>
              <w:pStyle w:val="Normal"/>
              <w:bidi w:val="0"/>
              <w:jc w:val="left"/>
              <w:rPr/>
            </w:pPr>
            <w:r>
              <w:rPr/>
            </w:r>
          </w:p>
        </w:tc>
        <w:tc>
          <w:tcPr>
            <w:tcW w:w="7831" w:type="dxa"/>
            <w:tcBorders/>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Credit Risk Disclosures</w:t>
            </w:r>
          </w:p>
        </w:tc>
      </w:tr>
      <w:tr>
        <w:trPr/>
        <w:tc>
          <w:tcPr>
            <w:tcW w:w="2374" w:type="dxa"/>
            <w:vMerge w:val="continue"/>
            <w:tcBorders/>
            <w:tcMar>
              <w:top w:w="0" w:type="dxa"/>
              <w:left w:w="0" w:type="dxa"/>
              <w:bottom w:w="0" w:type="dxa"/>
              <w:right w:w="0" w:type="dxa"/>
            </w:tcMar>
            <w:vAlign w:val="center"/>
          </w:tcPr>
          <w:p>
            <w:pPr>
              <w:pStyle w:val="Normal"/>
              <w:bidi w:val="0"/>
              <w:jc w:val="left"/>
              <w:rPr/>
            </w:pPr>
            <w:r>
              <w:rPr/>
            </w:r>
          </w:p>
        </w:tc>
        <w:tc>
          <w:tcPr>
            <w:tcW w:w="7831" w:type="dxa"/>
            <w:tcBorders/>
            <w:tcMar>
              <w:top w:w="0" w:type="dxa"/>
              <w:left w:w="0" w:type="dxa"/>
              <w:bottom w:w="0" w:type="dxa"/>
              <w:right w:w="0" w:type="dxa"/>
            </w:tcMar>
            <w:vAlign w:val="center"/>
          </w:tcPr>
          <w:p>
            <w:pPr>
              <w:pStyle w:val="TableContents"/>
              <w:bidi w:val="0"/>
              <w:spacing w:before="120" w:after="120"/>
              <w:jc w:val="both"/>
              <w:rPr>
                <w:color w:val="000000"/>
              </w:rPr>
            </w:pPr>
            <w:r>
              <w:rPr>
                <w:color w:val="000000"/>
              </w:rPr>
              <w:t>•</w:t>
            </w:r>
          </w:p>
          <w:p>
            <w:pPr>
              <w:pStyle w:val="TableContents"/>
              <w:bidi w:val="0"/>
              <w:spacing w:before="120" w:after="120"/>
              <w:jc w:val="both"/>
              <w:rPr/>
            </w:pPr>
            <w:r>
              <w:rPr>
                <w:rFonts w:ascii="Times New Roman" w:hAnsi="Times New Roman"/>
                <w:color w:val="000000"/>
                <w:sz w:val="20"/>
              </w:rPr>
              <w:t xml:space="preserve">Paragraph IG20B of the </w:t>
            </w:r>
            <w:r>
              <w:rPr>
                <w:rFonts w:ascii="Times New Roman" w:hAnsi="Times New Roman"/>
                <w:i/>
                <w:color w:val="000000"/>
                <w:sz w:val="20"/>
              </w:rPr>
              <w:t xml:space="preserve">Guidance on implementing IFRS 7 </w:t>
            </w:r>
            <w:r>
              <w:rPr>
                <w:rFonts w:ascii="Times New Roman" w:hAnsi="Times New Roman"/>
                <w:color w:val="000000"/>
                <w:sz w:val="20"/>
              </w:rPr>
              <w:t xml:space="preserve">has been amended to simplify the explanation of which aspects of the IFRS requirements are not illustrated in the example.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Standards issued but not yet effective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Annual Improvements to IFRS Accounting Standards — Volume 11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amendments from the Annual Improvements to IFRS Accounting Standards—Volume 11(cont’d):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96"/>
        <w:gridCol w:w="8509"/>
      </w:tblGrid>
      <w:tr>
        <w:trPr/>
        <w:tc>
          <w:tcPr>
            <w:tcW w:w="1696" w:type="dxa"/>
            <w:tcBorders/>
            <w:vAlign w:val="center"/>
          </w:tcPr>
          <w:p>
            <w:pPr>
              <w:pStyle w:val="TableContents"/>
              <w:bidi w:val="0"/>
              <w:spacing w:before="0" w:after="283"/>
              <w:jc w:val="left"/>
              <w:rPr>
                <w:sz w:val="4"/>
                <w:szCs w:val="4"/>
              </w:rPr>
            </w:pPr>
            <w:r>
              <w:rPr>
                <w:sz w:val="4"/>
                <w:szCs w:val="4"/>
              </w:rPr>
            </w:r>
          </w:p>
        </w:tc>
        <w:tc>
          <w:tcPr>
            <w:tcW w:w="8509" w:type="dxa"/>
            <w:tcBorders/>
            <w:vAlign w:val="center"/>
          </w:tcPr>
          <w:p>
            <w:pPr>
              <w:pStyle w:val="TableContents"/>
              <w:bidi w:val="0"/>
              <w:spacing w:before="0" w:after="283"/>
              <w:jc w:val="left"/>
              <w:rPr>
                <w:sz w:val="4"/>
                <w:szCs w:val="4"/>
              </w:rPr>
            </w:pPr>
            <w:r>
              <w:rPr>
                <w:sz w:val="4"/>
                <w:szCs w:val="4"/>
              </w:rPr>
            </w:r>
          </w:p>
        </w:tc>
      </w:tr>
      <w:tr>
        <w:trPr/>
        <w:tc>
          <w:tcPr>
            <w:tcW w:w="169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IFRS 9 </w:t>
            </w:r>
            <w:r>
              <w:rPr>
                <w:rFonts w:ascii="Times New Roman" w:hAnsi="Times New Roman"/>
                <w:i/>
                <w:color w:val="000000"/>
                <w:sz w:val="20"/>
              </w:rPr>
              <w:t>Financial Instruments</w:t>
            </w:r>
          </w:p>
        </w:tc>
        <w:tc>
          <w:tcPr>
            <w:tcW w:w="8509" w:type="dxa"/>
            <w:tcBorders/>
            <w:tcMar>
              <w:top w:w="0" w:type="dxa"/>
              <w:left w:w="0" w:type="dxa"/>
              <w:bottom w:w="0" w:type="dxa"/>
              <w:right w:w="0" w:type="dxa"/>
            </w:tcMar>
            <w:vAlign w:val="center"/>
          </w:tcPr>
          <w:p>
            <w:pPr>
              <w:pStyle w:val="TableContents"/>
              <w:bidi w:val="0"/>
              <w:spacing w:before="60" w:after="283"/>
              <w:ind w:left="0" w:right="0" w:firstLine="634"/>
              <w:jc w:val="left"/>
              <w:rPr>
                <w:rFonts w:ascii="Times New Roman" w:hAnsi="Times New Roman"/>
                <w:b/>
                <w:color w:val="000000"/>
                <w:sz w:val="20"/>
              </w:rPr>
            </w:pPr>
            <w:r>
              <w:rPr>
                <w:rFonts w:ascii="Times New Roman" w:hAnsi="Times New Roman"/>
                <w:b/>
                <w:color w:val="000000"/>
                <w:sz w:val="20"/>
              </w:rPr>
              <w:t>Lessee Derecognition of Lease Liabilities</w:t>
            </w:r>
          </w:p>
        </w:tc>
      </w:tr>
      <w:tr>
        <w:trPr/>
        <w:tc>
          <w:tcPr>
            <w:tcW w:w="1696" w:type="dxa"/>
            <w:vMerge w:val="continue"/>
            <w:tcBorders/>
            <w:tcMar>
              <w:top w:w="0" w:type="dxa"/>
              <w:left w:w="0" w:type="dxa"/>
              <w:bottom w:w="0" w:type="dxa"/>
              <w:right w:w="0" w:type="dxa"/>
            </w:tcMar>
            <w:vAlign w:val="center"/>
          </w:tcPr>
          <w:p>
            <w:pPr>
              <w:pStyle w:val="Normal"/>
              <w:bidi w:val="0"/>
              <w:jc w:val="left"/>
              <w:rPr/>
            </w:pPr>
            <w:r>
              <w:rPr/>
            </w:r>
          </w:p>
        </w:tc>
        <w:tc>
          <w:tcPr>
            <w:tcW w:w="8509"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Paragraph 2.1 of IFRS 9 has been amended to clarify that, when a lessee has determined that a lease liability has been extinguished in accordance with IFRS 9, the lessee is required to apply paragraph 3.3.3 and recognize any resulting gain or loss in profit or loss. However, the amendment does not address how a lessee distinguishes between a lease modification as defined in IFRS 16 and an extinguishment of a lease liability in accordance with IFRS 9.</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 xml:space="preserve">An entity applies the amendments for annual reporting periods beginning on or after January 1, 2026. Earlier application is permitted. </w:t>
            </w:r>
          </w:p>
        </w:tc>
      </w:tr>
      <w:tr>
        <w:trPr/>
        <w:tc>
          <w:tcPr>
            <w:tcW w:w="1696" w:type="dxa"/>
            <w:vMerge w:val="continue"/>
            <w:tcBorders/>
            <w:tcMar>
              <w:top w:w="0" w:type="dxa"/>
              <w:left w:w="0" w:type="dxa"/>
              <w:bottom w:w="0" w:type="dxa"/>
              <w:right w:w="0" w:type="dxa"/>
            </w:tcMar>
            <w:vAlign w:val="center"/>
          </w:tcPr>
          <w:p>
            <w:pPr>
              <w:pStyle w:val="Normal"/>
              <w:bidi w:val="0"/>
              <w:jc w:val="left"/>
              <w:rPr/>
            </w:pPr>
            <w:r>
              <w:rPr/>
            </w:r>
          </w:p>
        </w:tc>
        <w:tc>
          <w:tcPr>
            <w:tcW w:w="8509" w:type="dxa"/>
            <w:tcBorders/>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Transaction Price</w:t>
            </w:r>
          </w:p>
        </w:tc>
      </w:tr>
      <w:tr>
        <w:trPr/>
        <w:tc>
          <w:tcPr>
            <w:tcW w:w="1696" w:type="dxa"/>
            <w:vMerge w:val="continue"/>
            <w:tcBorders/>
            <w:tcMar>
              <w:top w:w="0" w:type="dxa"/>
              <w:left w:w="0" w:type="dxa"/>
              <w:bottom w:w="0" w:type="dxa"/>
              <w:right w:w="0" w:type="dxa"/>
            </w:tcMar>
            <w:vAlign w:val="center"/>
          </w:tcPr>
          <w:p>
            <w:pPr>
              <w:pStyle w:val="Normal"/>
              <w:bidi w:val="0"/>
              <w:jc w:val="left"/>
              <w:rPr/>
            </w:pPr>
            <w:r>
              <w:rPr/>
            </w:r>
          </w:p>
        </w:tc>
        <w:tc>
          <w:tcPr>
            <w:tcW w:w="8509"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color w:val="000000"/>
                <w:sz w:val="20"/>
              </w:rPr>
              <w:t xml:space="preserve">Paragraph 5.1.3 of IFRS 9 has been amended to replace the reference to ‘transaction price’ as defined by IFRS 15 </w:t>
            </w:r>
            <w:r>
              <w:rPr>
                <w:rFonts w:ascii="Times New Roman" w:hAnsi="Times New Roman"/>
                <w:i/>
                <w:color w:val="000000"/>
                <w:sz w:val="20"/>
              </w:rPr>
              <w:t>Revenue from Contracts with Customers</w:t>
            </w:r>
            <w:r>
              <w:rPr>
                <w:color w:val="000000"/>
              </w:rPr>
              <w:t xml:space="preserve">’ </w:t>
            </w:r>
            <w:r>
              <w:rPr>
                <w:rFonts w:ascii="Times New Roman" w:hAnsi="Times New Roman"/>
                <w:color w:val="000000"/>
                <w:sz w:val="20"/>
              </w:rPr>
              <w:t>with ‘the amount determined by applying IFRS 15’. The use of the term ‘transaction price’ in relation to IFRS 15 was potentially confusing and so it has been removed. The term was also deleted from Appendix A of IFRS 9.</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An entity applies the amendments for annual reporting periods beginning on or after January 1, 2026. Earlier application is permitted.</w:t>
            </w:r>
          </w:p>
        </w:tc>
      </w:tr>
      <w:tr>
        <w:trPr/>
        <w:tc>
          <w:tcPr>
            <w:tcW w:w="1696" w:type="dxa"/>
            <w:vMerge w:val="restart"/>
            <w:tcBorders/>
            <w:shd w:fill="CFF0FC"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 xml:space="preserve">IFRS 10 </w:t>
            </w:r>
            <w:r>
              <w:rPr>
                <w:rFonts w:ascii="Times New Roman" w:hAnsi="Times New Roman"/>
                <w:i/>
                <w:color w:val="000000"/>
                <w:sz w:val="20"/>
              </w:rPr>
              <w:t>Consolidated Financial Statements</w:t>
            </w:r>
          </w:p>
          <w:p>
            <w:pPr>
              <w:pStyle w:val="TableContents"/>
              <w:bidi w:val="0"/>
              <w:spacing w:before="0" w:after="283"/>
              <w:jc w:val="left"/>
              <w:rPr/>
            </w:pPr>
            <w:r>
              <w:rPr/>
              <w:t> </w:t>
            </w:r>
          </w:p>
        </w:tc>
        <w:tc>
          <w:tcPr>
            <w:tcW w:w="8509" w:type="dxa"/>
            <w:tcBorders/>
            <w:shd w:fill="CFF0FC" w:val="clear"/>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Determination of a ‘De Facto Agent’</w:t>
            </w:r>
          </w:p>
        </w:tc>
      </w:tr>
      <w:tr>
        <w:trPr/>
        <w:tc>
          <w:tcPr>
            <w:tcW w:w="1696" w:type="dxa"/>
            <w:vMerge w:val="continue"/>
            <w:tcBorders/>
            <w:shd w:fill="CFF0FC" w:val="clear"/>
            <w:tcMar>
              <w:top w:w="0" w:type="dxa"/>
              <w:left w:w="0" w:type="dxa"/>
              <w:bottom w:w="0" w:type="dxa"/>
              <w:right w:w="0" w:type="dxa"/>
            </w:tcMar>
            <w:vAlign w:val="center"/>
          </w:tcPr>
          <w:p>
            <w:pPr>
              <w:pStyle w:val="Normal"/>
              <w:bidi w:val="0"/>
              <w:jc w:val="left"/>
              <w:rPr/>
            </w:pPr>
            <w:r>
              <w:rPr/>
            </w:r>
          </w:p>
        </w:tc>
        <w:tc>
          <w:tcPr>
            <w:tcW w:w="8509" w:type="dxa"/>
            <w:tcBorders/>
            <w:shd w:fill="CFF0FC" w:val="clear"/>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Paragraph B74 of IFRS 10 has been amended to clarify that the relationship described in paragraph B74 is just one example of various relationships that might exist between the investor and other parties acting as de facto agents of the investor. The amendments are intended to remove the inconsistency with the requirement in paragraph B73 for an entity to use judgement to determine whether other parties are acting as de facto agents</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An entity applies the amendments for annual reporting periods beginning on or after January 1, 2026. Earlier application is permitted.</w:t>
            </w:r>
          </w:p>
        </w:tc>
      </w:tr>
      <w:tr>
        <w:trPr/>
        <w:tc>
          <w:tcPr>
            <w:tcW w:w="169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IAS 7 </w:t>
            </w:r>
            <w:r>
              <w:rPr>
                <w:rFonts w:ascii="Times New Roman" w:hAnsi="Times New Roman"/>
                <w:i/>
                <w:color w:val="000000"/>
                <w:sz w:val="20"/>
              </w:rPr>
              <w:t>Statement of Cash Flows</w:t>
            </w:r>
          </w:p>
        </w:tc>
        <w:tc>
          <w:tcPr>
            <w:tcW w:w="8509" w:type="dxa"/>
            <w:tcBorders/>
            <w:tcMar>
              <w:top w:w="0" w:type="dxa"/>
              <w:left w:w="0" w:type="dxa"/>
              <w:bottom w:w="0" w:type="dxa"/>
              <w:right w:w="0" w:type="dxa"/>
            </w:tcMar>
            <w:vAlign w:val="center"/>
          </w:tcPr>
          <w:p>
            <w:pPr>
              <w:pStyle w:val="TableContents"/>
              <w:bidi w:val="0"/>
              <w:spacing w:before="60" w:after="283"/>
              <w:ind w:left="0" w:right="0" w:firstLine="634"/>
              <w:jc w:val="both"/>
              <w:rPr>
                <w:rFonts w:ascii="Times New Roman" w:hAnsi="Times New Roman"/>
                <w:b/>
                <w:color w:val="000000"/>
                <w:sz w:val="20"/>
              </w:rPr>
            </w:pPr>
            <w:r>
              <w:rPr>
                <w:rFonts w:ascii="Times New Roman" w:hAnsi="Times New Roman"/>
                <w:b/>
                <w:color w:val="000000"/>
                <w:sz w:val="20"/>
              </w:rPr>
              <w:t>Cost Method</w:t>
            </w:r>
          </w:p>
        </w:tc>
      </w:tr>
      <w:tr>
        <w:trPr/>
        <w:tc>
          <w:tcPr>
            <w:tcW w:w="1696" w:type="dxa"/>
            <w:vMerge w:val="continue"/>
            <w:tcBorders/>
            <w:tcMar>
              <w:top w:w="0" w:type="dxa"/>
              <w:left w:w="0" w:type="dxa"/>
              <w:bottom w:w="0" w:type="dxa"/>
              <w:right w:w="0" w:type="dxa"/>
            </w:tcMar>
            <w:vAlign w:val="center"/>
          </w:tcPr>
          <w:p>
            <w:pPr>
              <w:pStyle w:val="Normal"/>
              <w:bidi w:val="0"/>
              <w:jc w:val="left"/>
              <w:rPr/>
            </w:pPr>
            <w:r>
              <w:rPr/>
            </w:r>
          </w:p>
        </w:tc>
        <w:tc>
          <w:tcPr>
            <w:tcW w:w="8509"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Paragraph 37 of IAS 7 has been amended to replace the term ‘cost method’ with ‘at cost’, following the prior deletion of the definition of ‘cost method’.</w:t>
            </w:r>
          </w:p>
          <w:p>
            <w:pPr>
              <w:pStyle w:val="TableContents"/>
              <w:bidi w:val="0"/>
              <w:spacing w:before="120" w:after="120"/>
              <w:jc w:val="both"/>
              <w:rPr>
                <w:color w:val="000000"/>
              </w:rPr>
            </w:pPr>
            <w:r>
              <w:rPr>
                <w:color w:val="000000"/>
              </w:rPr>
              <w:t>•</w:t>
            </w:r>
          </w:p>
          <w:p>
            <w:pPr>
              <w:pStyle w:val="TableContents"/>
              <w:bidi w:val="0"/>
              <w:spacing w:before="120" w:after="120"/>
              <w:jc w:val="both"/>
              <w:rPr>
                <w:rFonts w:ascii="Times New Roman" w:hAnsi="Times New Roman"/>
                <w:color w:val="000000"/>
                <w:sz w:val="20"/>
              </w:rPr>
            </w:pPr>
            <w:r>
              <w:rPr>
                <w:rFonts w:ascii="Times New Roman" w:hAnsi="Times New Roman"/>
                <w:color w:val="000000"/>
                <w:sz w:val="20"/>
              </w:rPr>
              <w:t>An entity applies the amendments for annual reporting periods beginning on or after January 1, 2026. Earlier application is permitted.</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amendments are not expected to have a material impact on the Group.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Basis of consolidation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financial statements comprise the financial statements of the Company and its subsidiaries as at the end of the reporting period. The financial statements of the subsidiaries used in the preparation of the consolidated financial statements are prepared for the same reporting date as the Company. Consistent accounting policies are applied to like transactions and events in similar circumstances.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intra-group balances, income and expenses and unrealized gains and losses resulting from intra-group transactions and dividends are eliminated in full.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Subsidiaries are consolidated from the date of acquisition, being the date on which the Group obtains control, and continue to be consolidated until the date that such control ceases.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Losses within a subsidiary are attributed to the non-controlling interest even if that results in a deficit balance.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change in the ownership interest of a subsidiary, without a loss of control, is accounted for as an equity transaction. If the Group loses control over a subsidiary, it: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derecognizes the assets (including goodwill) and liabilities of the subsidiary at their carrying amounts at the date when control is lost;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derecognizes the carrying amount of any non-controlling interest;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derecognizes the cumulative translation differences recorded in equity;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recognizes the fair value of the consideration received;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recognizes the fair value of any investment retained;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recognizes any surplus or deficit in profit or loss;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reclassifies the Group’s share of components previously recognized in other comprehensive income to profit or loss or retained earnings, as appropriate.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material accounting policies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Business combinations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combinations are accounted for applying acquisition method. Identifiable assets acquired and liabilities assumed in business combination are measured initially at their fair value at the acquisition date. Acquisition-related costs are recognized as expenses in periods in which the costs are incurred and the services are received. For each business combination, the Group elects whether to measure the non-controlling interests in the acquiree at fair value or at the proportionate share of the acquiree’s identifiable net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the Group acquires a business, it assesses the financial assets and liabilities assumed for appropriate classification and designation in accordance with the contractual terms, economic circumstances and pertinent conditions as at the acquisition date.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Any contingent consideration to be transferred by the acquirer will be recognized at fair value at the acquisition date. Contingent consideration classified as equity is not re-measured and its subsequent settlement is accounted for within equity. Contingent consideration classified as an asset or liability that is a financial instrument and within the scope of IFRS 9 </w:t>
      </w:r>
      <w:r>
        <w:rPr>
          <w:rFonts w:ascii="Times New Roman" w:hAnsi="Times New Roman"/>
          <w:i/>
          <w:color w:val="000000"/>
          <w:sz w:val="20"/>
        </w:rPr>
        <w:t>Financial Instruments</w:t>
      </w:r>
      <w:r>
        <w:rPr>
          <w:rFonts w:ascii="Times New Roman" w:hAnsi="Times New Roman"/>
          <w:color w:val="000000"/>
          <w:sz w:val="20"/>
        </w:rPr>
        <w:t xml:space="preserve">, is measured at fair value with the changes in fair value recognized in the statement of profit or loss in accordance with IFRS 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business combinations achieved in stages, previously held equity interests in the acquiree are re-measured to fair value at the acquisition date and any corresponding gain or loss is recognized in profit or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Business combinations (cont’d)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Any excess of the sum of the fair value of the consideration transferred in the business combination, the amount of non-controlling interest in the acquiree (if any), and the fair value of the Group’s previously held equity interest in the acquiree (if any), over the net fair value of the acquiree’s identifiable assets and liabilities is recorded as goodwill. The accounting policy for goodwill is set out in Section (h) </w:t>
      </w:r>
      <w:r>
        <w:rPr>
          <w:rFonts w:ascii="Times New Roman" w:hAnsi="Times New Roman"/>
          <w:i/>
          <w:color w:val="000000"/>
          <w:sz w:val="20"/>
        </w:rPr>
        <w:t>Intangible assets</w:t>
      </w:r>
      <w:r>
        <w:rPr>
          <w:rFonts w:ascii="Times New Roman" w:hAnsi="Times New Roman"/>
          <w:color w:val="000000"/>
          <w:sz w:val="20"/>
        </w:rPr>
        <w:t xml:space="preserve">. In instances where the latter amount exceeds the former, the excess is recognized as gain on bargain purchase in profit or loss on the acquisition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Where the Group had granted put option to third party investors (non-controlling interests) for their investments in subsidiaries, the Group recognized a financial liability based on the present value of the amount payable upon exercise of the put. A corresponding amount to equity attributable to the parent (capital reserves) will be recognized.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Investments in associates and joint ventures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the Group assesses for significant influence or joint control, the Group makes considerations which are similar to those necessary to determine control over subsidiaries. The Group’s investments in its associates and joint ventures are accounted for using the equity method.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equity method, the investment in associates or joint ventures are carried in the balance sheet at cost plus post-acquisition changes in the Group’s share of net assets of the associates or joint ventures. The profit or loss reflects the share of results of the operations of the associates or joint ventures. Distributions received from associates or joint ventures reduce the carrying amount of the investment. Where there has been a change recognized in other comprehensive income by the associates or joint ventures, the Group recognizes its share of such changes in other comprehensive income. Unrealized gains and losses resulting from transactions between the Group and associates or joint ventures are eliminated to the extent of the interest in the associates or joint ventures.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the Group’s share of losses in an associate or joint venture equals or exceeds its interest in the associate or joint venture, the Group does not recognize further losses as it has not incurred legal or constructive obligations or made payments on behalf of the associate or joint venture.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aggregate of the Group’s share of results of associates or joint ventures is shown on the face of the statement of profit or loss outside operating profit.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statements of the associates and joint ventures are prepared at the same reporting date as the Group. Where necessary, adjustments are made to align with the accounting policies of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After application of the equity method, the Group determines whether it is necessary to recognize an impairment loss on its investment in its associates or joint ventures. At each reporting date, the Group determines whether there is objective evidence that the investment in the associate or joint venture is impaired. If there is such evidence, the Group calculates the amount of impairment as the difference between the recoverable amount of the associate or joint venture and its carrying value, then recognizes the loss within “Share of results of associate, net of tax” and “Share of results of joint ventures, net of tax” in the statement of profit or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functional currency is US Dollar. The Group’s consolidated financial statements are presented in Renminbi, which is also the functional currency of Yuchai, the largest operating segment of the Group.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entity in the Group determines its own functional currency, and items included in the financial statements of each entity are measured using that functional currency. </w:t>
      </w:r>
    </w:p>
    <w:p>
      <w:pPr>
        <w:pStyle w:val="TextBody"/>
        <w:bidi w:val="0"/>
        <w:spacing w:before="240" w:after="283"/>
        <w:jc w:val="both"/>
        <w:rPr>
          <w:rFonts w:ascii="Times New Roman" w:hAnsi="Times New Roman"/>
          <w:sz w:val="20"/>
        </w:rPr>
      </w:pPr>
      <w:r>
        <w:rPr>
          <w:rFonts w:ascii="Times New Roman" w:hAnsi="Times New Roman"/>
          <w:b/>
          <w:i/>
          <w:color w:val="000000"/>
          <w:sz w:val="20"/>
        </w:rPr>
        <w:t>Transactions and balances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Transactions in foreign currencies are measured in the respective functional currencies of the Company and its subsidiaries and are recorded on initial recognition in the functional currencies at exchange rates approximating those ruling at the transaction dates. Monetary assets and liabilities denominated in foreign currencies are translated at the rate of exchange ruling at the end of the reporting period.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was measured.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Exchange differences arising on the settlement of monetary items or on translating monetary items at the end of the reporting period are recognized in profit or loss. </w:t>
      </w:r>
    </w:p>
    <w:p>
      <w:pPr>
        <w:pStyle w:val="TextBody"/>
        <w:bidi w:val="0"/>
        <w:spacing w:before="240" w:after="283"/>
        <w:jc w:val="both"/>
        <w:rPr>
          <w:rFonts w:ascii="Times New Roman" w:hAnsi="Times New Roman"/>
          <w:sz w:val="20"/>
        </w:rPr>
      </w:pPr>
      <w:r>
        <w:rPr>
          <w:rFonts w:ascii="Times New Roman" w:hAnsi="Times New Roman"/>
          <w:b/>
          <w:i/>
          <w:color w:val="000000"/>
          <w:sz w:val="20"/>
        </w:rPr>
        <w:t>Consolidated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consolidation, the assets and liabilities of foreign operations are translated into RMB at the rate of exchange prevailing at the reporting date and their statements of profit or loss are translated at average exchange rates during the reporting period. The exchange differences arising on translation for consolidation are recognized in OCI. On disposal of a foreign operation, the component of OCI relating to that particular foreign operation is reclassified to profit or loss.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from contracts with customers is recognized when control of the goods or services are transferred to the customer at an amount that reflects the consideration to which the Group expects to be entitled in exchange for those goods or services. The Group has generally concluded that it is the principal in its revenue arrangements because it typically controls the goods or services before transferring them to the customer.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disclosures of significant accounting judgements, estimates and assumptions relating to revenue from contracts with customers are provided in Note 3. </w:t>
      </w:r>
    </w:p>
    <w:p>
      <w:pPr>
        <w:pStyle w:val="TextBody"/>
        <w:bidi w:val="0"/>
        <w:spacing w:before="240" w:after="283"/>
        <w:jc w:val="both"/>
        <w:rPr>
          <w:rFonts w:ascii="Times New Roman" w:hAnsi="Times New Roman"/>
          <w:sz w:val="20"/>
        </w:rPr>
      </w:pPr>
      <w:r>
        <w:rPr>
          <w:rFonts w:ascii="Times New Roman" w:hAnsi="Times New Roman"/>
          <w:b/>
          <w:i/>
          <w:color w:val="000000"/>
          <w:sz w:val="20"/>
        </w:rPr>
        <w:t>Sale of engines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from sale of engines is recognized at the point in time when control of the engine is transferred to the customer and all criteria for acceptance have been satisfied, generally on delivery of the engines, or, in some cases, when the engines are installed by the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considers whether there are other promises in the contract that are separate performance obligations to which a portion of the transaction price needs to be allocated (e.g. warranties). In determining the transaction price for the sale of engines, the Group considers the effects of variable consideration and the existence of significant financing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from Contracts with Customers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 of engines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(i) Variable consideration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consideration in a contract includes a variable amount, the Group estimates the amount of consideration to which it will be entitled in exchange for transferring the goods to the customer. The variable consideration is estimated at contract inception. Some contracts for the sale of engines provide customers with sales rebates based on the sales volume. The sales rebates give rise to variable consideration.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Sales rebates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enters into contractual arrangements to provide certain customers with sales rebates when the quantity of products purchased during the period exceeds a threshold specified in the contract. Based on contractual arrangement with the customers, the sales rebates are netted against “Trade receivables”. If the receivables had been settled by the customers, amounts in excess of “Trade receivables” will be recognized as refund liabilities in “Trade and other payables”.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Sales Returns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does not extend its sales returns policy to all customers. However, the Group allows for certain returns, only on a case-by-case basis. The Group uses the expected value method to estimate the provision for such returns based on the management estimates with reference to historical return rates and account for it as a reduction in revenue and form part of refund liability that is recognized in “Trade and other payables” (Note 23). A corresponding right of return assets is recognized in “Trade and other receivables” (Note 15). </w:t>
      </w:r>
    </w:p>
    <w:p>
      <w:pPr>
        <w:pStyle w:val="TextBody"/>
        <w:bidi w:val="0"/>
        <w:spacing w:before="240" w:after="283"/>
        <w:jc w:val="both"/>
        <w:rPr>
          <w:rFonts w:ascii="Times New Roman" w:hAnsi="Times New Roman"/>
          <w:sz w:val="20"/>
        </w:rPr>
      </w:pPr>
      <w:r>
        <w:rPr>
          <w:rFonts w:ascii="Times New Roman" w:hAnsi="Times New Roman"/>
          <w:b/>
          <w:i/>
          <w:color w:val="000000"/>
          <w:sz w:val="20"/>
        </w:rPr>
        <w:t>(ii) Significant financing component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receives advance payments from customers for the sale of engines. The Group applies the practical expedient for short-term advances received from customers. That is, the promised amount of consideration is not adjusted for the effects of a significant financing component if the period between the transfer of the promised good or service and the payment is one year or less. </w:t>
      </w:r>
    </w:p>
    <w:p>
      <w:pPr>
        <w:pStyle w:val="TextBody"/>
        <w:bidi w:val="0"/>
        <w:spacing w:before="240" w:after="283"/>
        <w:jc w:val="both"/>
        <w:rPr>
          <w:rFonts w:ascii="Times New Roman" w:hAnsi="Times New Roman"/>
          <w:sz w:val="20"/>
        </w:rPr>
      </w:pPr>
      <w:r>
        <w:rPr>
          <w:rFonts w:ascii="Times New Roman" w:hAnsi="Times New Roman"/>
          <w:b/>
          <w:i/>
          <w:color w:val="000000"/>
          <w:sz w:val="20"/>
        </w:rPr>
        <w:t>Warranty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Group typically provides warranties for general repairs of defects as part of the sale of engines. These assurance-type warranties are accounted for as warranty provisions. Refer to the accounting policy on warranty provisions in Section (m) </w:t>
      </w:r>
      <w:r>
        <w:rPr>
          <w:rFonts w:ascii="Times New Roman" w:hAnsi="Times New Roman"/>
          <w:i/>
          <w:color w:val="000000"/>
          <w:sz w:val="20"/>
        </w:rPr>
        <w:t>Provisions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contracts provide a customer with maintenance service, i.e. a distinct service to the customer in addition to the assurance that the product complies with agreed-upon specification. These service-type warranties are bundled together with the sale of engines. These contracts comprise two performance obligations, i.e. the promises to transfer the engines and to provide the service-type warranty. The transaction price is allocated to the service-type warranty and engines using a combination of residual and observable price approach. The portion of transaction price allocated to the service-type warranty is initially recorded as a contract liability and recognized as revenue at the point in time when the service is provided.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from Contracts with Customers (cont’d)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Principal versus agent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another party is involved in providing products to a customer, the Group determines whether the nature of its promise is a performance obligation to provide the products itself (i.e. the Group is a principal) or to arrange for those products to be provided by the other party (i.e. the Group is an agent).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is a principal if it controls the product before the product is transferred to a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is an agent if its performance obligation is to arrange for the provision of the product by another party. In this case, the Group is not the primary obligor and is not subject to inventory risk. The Group does not control the products provided by another party before the products are transferred to the customer. When the Group acts as an agent, it recognizes revenue in the amount of any fee or commission to which it expects to be entitled in exchange for arranging for the specified products to be provided by the other party.</w:t>
      </w:r>
    </w:p>
    <w:p>
      <w:pPr>
        <w:pStyle w:val="TextBody"/>
        <w:bidi w:val="0"/>
        <w:spacing w:before="240" w:after="283"/>
        <w:jc w:val="left"/>
        <w:rPr>
          <w:rFonts w:ascii="Times New Roman" w:hAnsi="Times New Roman"/>
          <w:sz w:val="20"/>
        </w:rPr>
      </w:pPr>
      <w:r>
        <w:rPr>
          <w:rFonts w:ascii="Times New Roman" w:hAnsi="Times New Roman"/>
          <w:b/>
          <w:i/>
          <w:color w:val="000000"/>
          <w:sz w:val="20"/>
        </w:rPr>
        <w:t>Rendering of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from rendering services relates to project management contracts, and hotel room and restaurant operations. Revenue is recognized over the period in which the services are rendered, by reference to completion of the specific transaction assessed on the basis of the actual service provided as a proportion of the total services to be performed.</w:t>
      </w:r>
    </w:p>
    <w:p>
      <w:pPr>
        <w:pStyle w:val="TextBody"/>
        <w:bidi w:val="0"/>
        <w:spacing w:before="240" w:after="283"/>
        <w:jc w:val="both"/>
        <w:rPr>
          <w:rFonts w:ascii="Times New Roman" w:hAnsi="Times New Roman"/>
          <w:sz w:val="20"/>
        </w:rPr>
      </w:pPr>
      <w:r>
        <w:rPr>
          <w:rFonts w:ascii="Times New Roman" w:hAnsi="Times New Roman"/>
          <w:b/>
          <w:i/>
          <w:color w:val="000000"/>
          <w:sz w:val="20"/>
        </w:rPr>
        <w:t>Contract balances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Trade receivables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receivable is recognized if an amount of consideration that is unconditional is due from the customer (i.e. only the passage of time is required before payment of the consideration is due). Refer to accounting policies of financial assets in Section (i) </w:t>
      </w:r>
      <w:r>
        <w:rPr>
          <w:rFonts w:ascii="Times New Roman" w:hAnsi="Times New Roman"/>
          <w:i/>
          <w:color w:val="000000"/>
          <w:sz w:val="20"/>
        </w:rPr>
        <w:t>Financial instruments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Capitalized contract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capitalized costs are costs which have been capitalized and directly related to the contracts, for which resources were used in satisfying the contract and are expected to be recovered.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Group’s capitalized contract costs are costs in fulfilling a contract for the development of technology know-how for heavy-duty engines platforms for a joint venture company of Group, and subsequently recognized in profit or loss when the Group performs the contract and the related revenue is recognized.</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Contract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contract liability is recognized if a payment is received or a payment is due (whichever is earlier) from a customer before the Group transfers the related goods or services. Contract liabilities are recognized as revenue when the Group performs under the contract (i.e., transfers control of the related goods or services to the customer). </w:t>
      </w:r>
    </w:p>
    <w:p>
      <w:pPr>
        <w:pStyle w:val="TextBody"/>
        <w:bidi w:val="0"/>
        <w:spacing w:before="240" w:after="283"/>
        <w:jc w:val="both"/>
        <w:rPr>
          <w:rFonts w:ascii="Times New Roman" w:hAnsi="Times New Roman"/>
          <w:sz w:val="20"/>
        </w:rPr>
      </w:pPr>
      <w:r>
        <w:rPr>
          <w:rFonts w:ascii="Times New Roman" w:hAnsi="Times New Roman"/>
          <w:b/>
          <w:i/>
          <w:color w:val="000000"/>
          <w:sz w:val="20"/>
        </w:rPr>
        <w:t>Right of return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right-of-return asset is recognized for the right to recover the goods expected to be returned by customers. The asset is measured at the former carrying amount of the inventory, less any expected costs to recover the goods and any potential decreases in value. The Group updates the measurement of the asset for any revisions to the expected level of returns and any additional decreases in the value of the returned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from Contracts with Customers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Refund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refund liability is recognized for the obligation to refund some or all of the consideration received (or receivable) from a customer. The Group’s refund liabilities arise from customers’ right of return and sales rebates. Based on contractual arrangement with the customers, sales rebates are netted against “Trade receivables”. If the receivables had been settled by the customers, amounts in excess of “Trade receivables” will be recognized as refund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Refund liabilities arising from contractual sales returns is measured at the amount the Group ultimately expects it will have to return to the customer. The Group updates its estimates of refund liabilities arising from sales returns at the end of each reporting period.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Government grants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 When the grant relates to an asset, it is recognized as income in equal amounts over the expected useful life of the related asset.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government grants were mainly to support and fund production facilities and research and development activities for product innovations and developments of engines. As at December 31, 2025, certain government grants earned by the Group are subject to certain conditions set out in the grants agreements. Management expects the conditions to be fulfilled.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Taxes </w:t>
      </w:r>
    </w:p>
    <w:p>
      <w:pPr>
        <w:pStyle w:val="TextBody"/>
        <w:bidi w:val="0"/>
        <w:spacing w:before="120" w:after="283"/>
        <w:jc w:val="both"/>
        <w:rPr>
          <w:rFonts w:ascii="Times New Roman" w:hAnsi="Times New Roman"/>
          <w:sz w:val="20"/>
        </w:rPr>
      </w:pPr>
      <w:r>
        <w:rPr>
          <w:rFonts w:ascii="Times New Roman" w:hAnsi="Times New Roman"/>
          <w:b/>
          <w:i/>
          <w:color w:val="000000"/>
          <w:sz w:val="20"/>
        </w:rPr>
        <w:t>Current income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 income tax assets and liabilities for the current and prior periods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Taxes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Deferred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is provided using the liability method on temporary differences between the tax bases of assets and liabilities and their carrying amounts for financial reporting purposes.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liabilities are recognized for all taxable temporary differences, except: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the deferred tax liability arises from the initial recognition of goodwill or an asset or liability in a transaction that is not a business combination and, at the time of the transaction, affects neither the accounting profit nor taxable profit or loss;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respect of taxable temporary differences associated with investments in subsidiaries, associates and interests in joint ventures, when the timing of the reversal of the temporary differences can be controlled and it is probable that the temporary differences will not reverse in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assets are recognized for all deductible temporary differences, the carry forward of unused tax credits and any unused tax losses to the extent that it is probable that taxable profit will be available against which the deductible temporary differences and the carry forward of unused tax credits and unused tax losses can be utilized, except: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respect of deductible temporary differences associated with investments in subsidiaries, associates and interests in joint ventures, deferred tax assets are recognized only to the extent that it is probable that the temporary differences will reverse in the foreseeable future and taxable profit will be available against which the temporary differences can be utilized.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carrying amount of deferred tax assets is reviewed at each reporting date and reduced to the extent that it is no longer probable that sufficient taxable profit will be available to allow all or part of the deferred tax asset to be utilized. Unrecognized deferred tax assets are re-assessed at each reporting date and are recognized to the extent that it has become probable that future taxable profits will allow the deferred tax asset to be recovered.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assets and liabilities are measured at the tax rates that are expected to apply in the year when the asset is realized or the liability is settled, based on tax rates (and tax laws) that have been enacted or substantively enacted at the reporting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assets and deferred tax liabilities are offset, if a legally enforceable right exists to set off current income tax assets against income tax liabilities and the deferred taxes relate to the same taxation authority. </w:t>
      </w:r>
    </w:p>
    <w:p>
      <w:pPr>
        <w:pStyle w:val="TextBody"/>
        <w:bidi w:val="0"/>
        <w:spacing w:before="240" w:after="283"/>
        <w:jc w:val="both"/>
        <w:rPr>
          <w:rFonts w:ascii="Times New Roman" w:hAnsi="Times New Roman"/>
          <w:sz w:val="20"/>
        </w:rPr>
      </w:pPr>
      <w:r>
        <w:rPr>
          <w:rFonts w:ascii="Times New Roman" w:hAnsi="Times New Roman"/>
          <w:b/>
          <w:i/>
          <w:color w:val="000000"/>
          <w:sz w:val="20"/>
        </w:rPr>
        <w:t>Sales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expenses and assets are recognized net of the amount of sales tax, except: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the sales tax incurred on a purchase of assets or services is not recoverable from the taxation authority, in which case, the sales tax is recognized as part of the cost of acquisition of the asset or as part of the expense item, as applicable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receivables and payables are stated with the amount of sales tax included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net amount of sales tax recoverable from, or payable to, the taxation authority is included as part of receivables or payables in the statement of financial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Taxes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Global minimum top-up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minimum top-up tax – which it is required to pay under Pillar Two legislation – is an income tax in the scope of IAS 12. The Group has applied a mandatory temporary relief from deferred tax accounting for the impacts of the top-up tax and accounts for it as a current tax when it is incurred.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Property, plant and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items of property, plant and equipment are initially recorded at cost. Subsequent to recognition, property, plant and equipment are measured at cost less accumulated depreciation and any accumulated impairment losses.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includes the cost of replacing part of the property, plant and equipment and costs that are directly attributable to the acquisition, construction or production of a qualifying property, plant and equipment. The cost of an item of property, plant and equipment is recognized as an asset if, and only if, it is probable that future economic benefits associated with the item will flow to the Group and the cost of the item can be measured reliably.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significant parts of property, plant and equipment are required to be replaced in intervals, the Group recognizes such parts as individual assets with specific useful lives and depreciation, respectively. Likewise, when a major inspection is performed, its cost is recognized in the carrying amount of the property, plant and equipment as a replacement if the recognition criteria are satisfied. All other repair and maintenance costs are recognized in profit or loss as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Freehold land has an unlimited useful life and therefore is not depreciated. Asset under construction-in-progress are stated at cost, net of accumulated impairment, and not depreciated as these assets are not yet ready for intended use. Depreciation is calculated on a straight-line basis over the estimated useful life of the assets as follows: </w:t>
      </w:r>
    </w:p>
    <w:p>
      <w:pPr>
        <w:pStyle w:val="TextBody"/>
        <w:bidi w:val="0"/>
        <w:jc w:val="left"/>
        <w:rPr/>
      </w:pPr>
      <w:r>
        <w:rPr/>
        <w:t> </w:t>
      </w:r>
    </w:p>
    <w:tbl>
      <w:tblPr>
        <w:tblW w:w="8238" w:type="dxa"/>
        <w:jc w:val="left"/>
        <w:tblInd w:w="0" w:type="dxa"/>
        <w:tblLayout w:type="fixed"/>
        <w:tblCellMar>
          <w:top w:w="28" w:type="dxa"/>
          <w:left w:w="28" w:type="dxa"/>
          <w:bottom w:w="28" w:type="dxa"/>
          <w:right w:w="28" w:type="dxa"/>
        </w:tblCellMar>
      </w:tblPr>
      <w:tblGrid>
        <w:gridCol w:w="3856"/>
        <w:gridCol w:w="166"/>
        <w:gridCol w:w="4216"/>
      </w:tblGrid>
      <w:tr>
        <w:trPr/>
        <w:tc>
          <w:tcPr>
            <w:tcW w:w="3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 on freehold land</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50 years</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Leasehold buildings and improvements</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50 years or period of lease, whichever is shorter</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Plant and machinery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 to 20 years</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Office furniture, fittings and equipment</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 to 20 years</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Motor and transport vehicles</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to 11 years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carrying values of property, plant and equipment are reviewed for impairment when events or changes in circumstances indicate that the carrying value may not be recoverable.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residual values, useful lives and methods of depreciation of property, plant and equipment are reviewed at each financial year end and adjusted prospectively, if appropriate.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item of property, plant and equipment is derecognized upon disposal or when no future economic benefits are expected from its use or disposal. Any gain or loss on derecognition of the asset is included in profit or loss in the year the asset is derecognized.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(h)</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Intangible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 Internally generated intangibles, excluding capitalized development costs, are not capitalized and the related expenditure is reflected in profit or loss in the period in which the expenditure is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useful lives of intangible assets are assessed as either finite or indefinite.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finite lives are amortized over the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 Changes in the expected useful life or the expected pattern of consumption of future economic benefits embodied in the asset are considered to modify the amortization period or method, as appropriate, and are treated as changes in accounting estimates. The amortization expense on intangible assets with finite lives is recognized in the statement of profit or loss in the expense category that is consistent with the function of the intangible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indefinite useful lives or not yet available for use are not amortized, but are tested for impairment annually, either individually or at the cash-generating unit level. The assessment of indefinite life is reviewed annually to determine whether the indefinite life continues to be supportable. If not, the change in useful life from indefinite to finite is made on a prospective basis.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gain or loss arising upon de-recognition of an intangible asset are measured as the difference between the net disposal proceeds and the carrying amount of the asset and are recognized in the statement of profit or loss when the asset is derecognized. </w:t>
      </w:r>
    </w:p>
    <w:p>
      <w:pPr>
        <w:pStyle w:val="TextBody"/>
        <w:bidi w:val="0"/>
        <w:spacing w:before="240" w:after="283"/>
        <w:jc w:val="both"/>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Goodwill is initially measured at cost. Following initial recognition, goodwill is measured at cost less any accumulated impairment losses.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purpose of impairment testing, goodwill acquired in a business combination is, from the acquisition date, allocated to each of the Group’s cash-generating units that are expected to benefit from the combination, irrespective of whether other assets or liabilities of the acquiree are assigned to those units.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cash-generating units to which goodwill have been allocated is tested for impairment annually and whenever there is an indication that the cash-generating unit may be impaired. The impairment is determined for goodwill by assessing the recoverable amount of each cash-generating unit (or group of cash-generating units) to which the goodwill relates. Where the recoverable amount of the cash-generating unit is less than the carrying amount, an impairment loss is recognized in the statement of profit or loss. Impairment losses recognized for goodwill are not reversed in subsequent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(h)</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Intangible assets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costs are expensed as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costs arising from development expenditures on an individual project are recognized as an intangible asset when the Group can demonstrate: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technical feasibility of completing the intangible asset so that the asset will be available for use or sale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Its intention to complete and its ability to use or sell the asset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How the asset will generate future economic benefits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resources to complete the asset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measure reliably the expenditure during development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initial recognition of the development costs as an intangible asset, it is carried at cost less any accumulated amortization and accumulated impairment losses. Amortization of the asset begins when development is completed and the asset is available for use. Development costs are amortized over the estimated useful lives of the period of expected pattern of future benefits embodied in the development. During the period of development, the asset is tested for impairment annually.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summary of the policies applied to the Group’s intangible assets is as follows: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05"/>
        <w:gridCol w:w="146"/>
        <w:gridCol w:w="1330"/>
        <w:gridCol w:w="146"/>
        <w:gridCol w:w="4677"/>
        <w:gridCol w:w="146"/>
        <w:gridCol w:w="1555"/>
      </w:tblGrid>
      <w:tr>
        <w:trPr/>
        <w:tc>
          <w:tcPr>
            <w:tcW w:w="22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sz w:val="4"/>
                <w:szCs w:val="4"/>
              </w:rPr>
            </w:pPr>
            <w:r>
              <w:rPr>
                <w:sz w:val="4"/>
                <w:szCs w:val="4"/>
              </w:rPr>
            </w:r>
          </w:p>
        </w:tc>
      </w:tr>
      <w:tr>
        <w:trPr/>
        <w:tc>
          <w:tcPr>
            <w:tcW w:w="220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Trademarks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7"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Technology know-how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55"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Development costs</w:t>
            </w:r>
          </w:p>
        </w:tc>
      </w:tr>
      <w:tr>
        <w:trPr/>
        <w:tc>
          <w:tcPr>
            <w:tcW w:w="2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Useful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4 -10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method used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amortization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Amortized on a straight-line basis over the period of the technology know-how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2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generated or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Internally generated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Internally generated</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 Development costs relate to on-going development projects that have not been completed and are not available for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Financial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financial instrument is any contract that gives rise to a financial asset of one entity and a financial liability or equity instrument of another entity. </w:t>
      </w:r>
    </w:p>
    <w:p>
      <w:pPr>
        <w:pStyle w:val="TextBody"/>
        <w:bidi w:val="0"/>
        <w:spacing w:before="240" w:after="283"/>
        <w:jc w:val="both"/>
        <w:rPr>
          <w:rFonts w:ascii="Times New Roman" w:hAnsi="Times New Roman"/>
          <w:sz w:val="20"/>
        </w:rPr>
      </w:pPr>
      <w:r>
        <w:rPr>
          <w:rFonts w:ascii="Times New Roman" w:hAnsi="Times New Roman"/>
          <w:b/>
          <w:color w:val="000000"/>
          <w:sz w:val="20"/>
        </w:rPr>
        <w:t>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Initial recognition and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assets are recognized when, and only when the entity becomes party to the contractual provisions of the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receivables are measured at the amount of consideration to which the Group expects to be entitled in exchange for transferring promised goods or services to a customer, excluding amounts collected on behalf of third party, if the trade receivables do not contain a significant financing component at initial recognition. </w:t>
      </w:r>
    </w:p>
    <w:p>
      <w:pPr>
        <w:pStyle w:val="TextBody"/>
        <w:bidi w:val="0"/>
        <w:spacing w:before="120" w:after="283"/>
        <w:jc w:val="both"/>
        <w:rPr>
          <w:rFonts w:ascii="Times New Roman" w:hAnsi="Times New Roman"/>
          <w:sz w:val="20"/>
        </w:rPr>
      </w:pPr>
      <w:r>
        <w:rPr>
          <w:rFonts w:ascii="Times New Roman" w:hAnsi="Times New Roman"/>
          <w:b/>
          <w:i/>
          <w:color w:val="000000"/>
          <w:sz w:val="20"/>
        </w:rPr>
        <w:t>Subsequent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u w:val="single"/>
        </w:rPr>
        <w:t>Investment in debt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 measurement of debt instruments depends on the Group’s business model for managing the asset and the contractual cash flow characteristics of the asset. The measurement category for classification of debt instruments is: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Amortized cost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amortization process.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Fair value through other comprehensive income (“FVOCI”)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and losses arising from interest income, foreign exchange revaluation and impairment losses or reversals are recognized in the statement of profit or loss and computed in the same manner as for financial assets measured at amortized cost. The remaining fair value changes are recognized in OCI. Upon de-recognition, the cumulative fair value change recognized in OCI is recycled to profit or loss.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debt instruments at fair value through OCI includes certain bills receivable that are not held to maturity. </w:t>
      </w:r>
    </w:p>
    <w:p>
      <w:pPr>
        <w:pStyle w:val="TextBody"/>
        <w:bidi w:val="0"/>
        <w:spacing w:before="240" w:after="283"/>
        <w:jc w:val="both"/>
        <w:rPr>
          <w:rFonts w:ascii="Times New Roman" w:hAnsi="Times New Roman"/>
          <w:sz w:val="20"/>
        </w:rPr>
      </w:pPr>
      <w:r>
        <w:rPr>
          <w:rFonts w:ascii="Times New Roman" w:hAnsi="Times New Roman"/>
          <w:b/>
          <w:i/>
          <w:color w:val="000000"/>
          <w:sz w:val="20"/>
        </w:rPr>
        <w:t>Derecognition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is recognized in profit or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instruments (cont’d)</w:t>
      </w:r>
    </w:p>
    <w:p>
      <w:pPr>
        <w:pStyle w:val="TextBody"/>
        <w:bidi w:val="0"/>
        <w:spacing w:before="120" w:after="283"/>
        <w:jc w:val="both"/>
        <w:rPr>
          <w:rFonts w:ascii="Times New Roman" w:hAnsi="Times New Roman"/>
          <w:sz w:val="20"/>
        </w:rPr>
      </w:pPr>
      <w:r>
        <w:rPr>
          <w:rFonts w:ascii="Times New Roman" w:hAnsi="Times New Roman"/>
          <w:b/>
          <w:color w:val="000000"/>
          <w:sz w:val="20"/>
        </w:rPr>
        <w:t>Impairment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recognizes an allowance for expected credit losses (“ECLs”) for all debt instruments not held at fair value through profit or loss. ECLs are based on the difference between the contractual cash flows due in accordance with the contract and the cash flows that the Group expects to receive, discounted at an approximation of the original effective interest rate. The expected cash flows will include cash flows from the sale of collateral held or other credit enhancements that are integral to the contractual terms.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ECLs are recognized in two stages. For credit exposure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recognized for credit losses expected over the remaining life of the exposure irrespective of timing of the default (a “lifetime ECL”).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trade receivable,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bills receivable that are held for maturity, the Group assess the credit risk of the financial institutions, which issue the bills, at every reporting date. The Group evaluates whether the bills are considered to have low credit risk using all reasonable and supportable information that is available without undue cost or effort. The Group considers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contractual cash flow.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more information, refer to Note 15. </w:t>
      </w:r>
    </w:p>
    <w:p>
      <w:pPr>
        <w:pStyle w:val="TextBody"/>
        <w:bidi w:val="0"/>
        <w:spacing w:before="240" w:after="283"/>
        <w:jc w:val="both"/>
        <w:rPr>
          <w:rFonts w:ascii="Times New Roman" w:hAnsi="Times New Roman"/>
          <w:sz w:val="20"/>
        </w:rPr>
      </w:pPr>
      <w:r>
        <w:rPr>
          <w:rFonts w:ascii="Times New Roman" w:hAnsi="Times New Roman"/>
          <w:b/>
          <w:color w:val="000000"/>
          <w:sz w:val="20"/>
        </w:rPr>
        <w:t>Financial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Initial recognition and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liabilities are recognized when, and only when, the Group becomes a party to the contractual provisions of the financial instrument. The Group determines the classification of its financial liabilities at initial recognition.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financial liabilities are recognized initially at fair value plus in the case of financial liabilities not at fair value through profit or loss, directly attributable transaction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Subsequent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Amortized cost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is the category most relevant to the Group. After initial recognition, financial liabilities that are not carried at fair value through profit or loss are subsequently measured at amortized cost using the EIR method. Gains and losses are recognized in profit or loss when the liabilities are derecognized, and through the amortization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Amortized cost is calculated by taking into account any discount or premium on acquisition and fees or costs that are an integral part of the EIR. The EIR amortization is included as finance costs in the statement of profit or loss.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category generally applies to loans and borrowings, other liabilities and payables. For more information, refer to Note 23, 27 and 29.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instruments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De-recognition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profit or loss. </w:t>
      </w:r>
    </w:p>
    <w:p>
      <w:pPr>
        <w:pStyle w:val="TextBody"/>
        <w:bidi w:val="0"/>
        <w:spacing w:before="240" w:after="283"/>
        <w:jc w:val="both"/>
        <w:rPr>
          <w:rFonts w:ascii="Times New Roman" w:hAnsi="Times New Roman"/>
          <w:sz w:val="20"/>
        </w:rPr>
      </w:pPr>
      <w:r>
        <w:rPr>
          <w:rFonts w:ascii="Times New Roman" w:hAnsi="Times New Roman"/>
          <w:b/>
          <w:color w:val="000000"/>
          <w:sz w:val="20"/>
        </w:rPr>
        <w:t>Offsetting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assets and financial liabilities are offset and the net amount is reported in the consolidated statement of financial position if there is a currently enforceable legal right to offset the recognized amounts and there is an intention to settle on a net basis, to realize the assets and settle the liabilities simultaneously.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(j)</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Inventories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Inventories are valued at the lower of cost and net realizable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incurred in bringing each product to its present location and condition are accounted for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Raw materials: purchase cost on a weighted average basis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Finished goods and work in progress: cost of direct materials and labor and a proportion of manufacturing overheads based on the normal operating capacity, but excluding borrowing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realizable value is the estimated selling price in the ordinary course of business, less estimated costs of completion and the estimated costs necessary to make the sale.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Impairment of non-financial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disclosures relating to impairment of non-financial assets are also provided in the following notes: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Disclosures for significant accounting judgments, estimates and assumptions (Note 3)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Investment in joint ventures (Note 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plant and equipment (Note 11)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(Note 13)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bases its impairment calculation on detailed budgets and forecast calculations, which are prepared separately for each of the Group’s CGUs to which the individual assets are allocated. These budgets and forecast calculations generally cover a period of five to ten years. For goodwill and trademark impairment review, a long-term growth rate is considered and applied to project future cash flows after the fifth year where appropriate. Impairment losses are recognized in the statement of profit or loss in expense categories consistent with the function of the impaired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material 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Impairment of non-financial assets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profit or loss. Impairment losses recognized on goodwill and intangible assets with indefinite useful lives are not reversed in subsequent reporting periods.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Cash and short-term deposits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purpose of the consolidated statement of cash flows, cash and cash equivalents in the statement of financial position comprise cash at banks and on hand, short-term highly liquid deposits with a maturity of three months or less, that are readily convertible to a known amount of cash and subject to an insignificant risk of changes in value. Cash and short-term deposits at banks are placed with reputable financial institutions with high credit ratings and no history of default.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Provisions </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are recognized when the Group has a present obligation (legal or constructive) as a result of a past event, it is probable that an outflow of resources embodying economic benefits will be required to settle the obligation the amount of the obligation can be estimated reliably.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are reviewed at the end of each reporting period and adjusted to reflect the current best estimate. If it is no longer probable that an outflow of economic resources will be required to settle the obligation, the provision is reversed.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warranty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recognizes a liability at the time the product is sold, for the estimated future costs relating to the assurance-type warranties, to be incurred under the lower of a warranty period or warranty mileage on various engine models, on which the Group provides free repair and replacement. Provisions for warranty are primarily determined based on historical warranty cost per unit of engines sold adjusted for specific conditions that may arise and the number of engines under warranty at each financial year. If the nature, frequency and average cost of warranty claims change, the accrued liability for product warranty will be adjusted accordingly.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Employment benefits </w:t>
      </w:r>
    </w:p>
    <w:p>
      <w:pPr>
        <w:pStyle w:val="TextBody"/>
        <w:bidi w:val="0"/>
        <w:spacing w:before="120" w:after="283"/>
        <w:jc w:val="both"/>
        <w:rPr>
          <w:rFonts w:ascii="Times New Roman" w:hAnsi="Times New Roman"/>
          <w:sz w:val="20"/>
        </w:rPr>
      </w:pPr>
      <w:r>
        <w:rPr>
          <w:rFonts w:ascii="Times New Roman" w:hAnsi="Times New Roman"/>
          <w:b/>
          <w:i/>
          <w:color w:val="000000"/>
          <w:sz w:val="20"/>
        </w:rPr>
        <w:t>Defined contribution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participates in and makes contributions to the national employee benefit scheme as defined by the laws of the countries in which it has operations. The contributions are at a fixed proportion of the basic salary of the staff. Contributions to defined contribution pension schemes are recognized as an expense in the period in which the related services are performed. </w:t>
      </w:r>
    </w:p>
    <w:p>
      <w:pPr>
        <w:pStyle w:val="TextBody"/>
        <w:bidi w:val="0"/>
        <w:spacing w:before="240" w:after="283"/>
        <w:jc w:val="both"/>
        <w:rPr>
          <w:rFonts w:ascii="Times New Roman" w:hAnsi="Times New Roman"/>
          <w:sz w:val="20"/>
        </w:rPr>
      </w:pPr>
      <w:r>
        <w:rPr>
          <w:rFonts w:ascii="Times New Roman" w:hAnsi="Times New Roman"/>
          <w:b/>
          <w:i/>
          <w:color w:val="000000"/>
          <w:sz w:val="20"/>
        </w:rPr>
        <w:t>Short-term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Short-term employee benefit obligations are measured on an undiscounted basis and are expensed as the related service is provided.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provision is recognized for the amount expected to be paid under short-term cash bonuses if the Company has a present legal or constructive obligation to pay this amount as a result of past service provided by the employee and the obligation can be estimated reliably.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sz w:val="20"/>
        </w:rPr>
      </w:pPr>
      <w:r>
        <w:rPr>
          <w:rFonts w:ascii="Times New Roman" w:hAnsi="Times New Roman"/>
          <w:b/>
          <w:color w:val="000000"/>
          <w:sz w:val="20"/>
        </w:rPr>
        <w:t>Summary of material accounting policies (cont’d)</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Share-based payments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Employees (including senior executives) of the Group receive remuneration in the form of share-based payments, whereby employees render services as consideration for equity instruments (“equity-settled transactions”). </w:t>
      </w:r>
    </w:p>
    <w:p>
      <w:pPr>
        <w:pStyle w:val="TextBody"/>
        <w:bidi w:val="0"/>
        <w:spacing w:before="240" w:after="283"/>
        <w:jc w:val="both"/>
        <w:rPr>
          <w:rFonts w:ascii="Times New Roman" w:hAnsi="Times New Roman"/>
          <w:sz w:val="20"/>
        </w:rPr>
      </w:pPr>
      <w:r>
        <w:rPr>
          <w:rFonts w:ascii="Times New Roman" w:hAnsi="Times New Roman"/>
          <w:i/>
          <w:color w:val="000000"/>
          <w:sz w:val="20"/>
        </w:rPr>
        <w:t>Equity-settled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equity-settled transactions is determined by the fair value at the date when the grant is made using an appropriate valuation model, further details of which are given in Note 22.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cost is recognized in “Staff costs”, together with a corresponding increase in performance share reserve in equity, over the period in which the performance and/or service conditions are fulfilled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 The expense or credit in the statement of profit or loss for a period represents the movement in cumulative expense recognized as of the beginning and end of that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expense is recognized for awards that do not ultimately vest.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When the terms of an equity-settled award are modified, the minimum expense recognized is the expense had the terms not been modified, provided the original terms of the award are met. An additional expense, measured as of the date of modification, is recognized for any modification that increases the total fair value of the share-based payment transaction, or is otherwise beneficial to the employee. Where an award is cancelled by the entity or by the counterparty, any remaining element of the fair value of the award is expensed immediately through profit or loss.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Treasury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shares are reacquired by the Company, the amount of consideration paid which includes directly attributable costs, net of any tax effect, is recognized directly in equity. Reacquired shares are classified as treasury shares and presented as a deduction from total equity. When treasury shares are subsequently sold or reissued pursuant to equity compensation plans, the cost of treasury shares is reversed from the treasury share account and the realized gain or loss on sale or reissue, net of any directly attributable incremental transaction costs, is recognized in the capital reserve. Voting rights related to treasury shares are nullified for the Group and no dividends are allocated to them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sz w:val="20"/>
        </w:rPr>
      </w:pPr>
      <w:r>
        <w:rPr>
          <w:rFonts w:ascii="Times New Roman" w:hAnsi="Times New Roman"/>
          <w:b/>
          <w:color w:val="000000"/>
          <w:sz w:val="20"/>
        </w:rPr>
        <w:t>Summary of material accounting policies (cont’d)</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(q)</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assesses at contract inception whether a contract is, or contains, a lease. That is, if the contract conveys the right to control the use of an identified asset for a period of time in exchange for consideration.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Group as a lessee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applies a single recognition and measurement approach for all leases, except for short-term leases and leases of low-value assets. The Group recognizes lease liabilities to make lease payments and right-of-use assets representing the right to use the underlying assets.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 Right-of-use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 as follows:</w:t>
      </w:r>
    </w:p>
    <w:p>
      <w:pPr>
        <w:pStyle w:val="TextBody"/>
        <w:bidi w:val="0"/>
        <w:jc w:val="both"/>
        <w:rPr/>
      </w:pPr>
      <w:r>
        <w:rPr/>
        <w:t> </w:t>
      </w:r>
    </w:p>
    <w:tbl>
      <w:tblPr>
        <w:tblW w:w="5133" w:type="dxa"/>
        <w:jc w:val="left"/>
        <w:tblInd w:w="0" w:type="dxa"/>
        <w:tblLayout w:type="fixed"/>
        <w:tblCellMar>
          <w:top w:w="28" w:type="dxa"/>
          <w:left w:w="28" w:type="dxa"/>
          <w:bottom w:w="28" w:type="dxa"/>
          <w:right w:w="28" w:type="dxa"/>
        </w:tblCellMar>
      </w:tblPr>
      <w:tblGrid>
        <w:gridCol w:w="3541"/>
        <w:gridCol w:w="166"/>
        <w:gridCol w:w="1426"/>
      </w:tblGrid>
      <w:tr>
        <w:trPr/>
        <w:tc>
          <w:tcPr>
            <w:tcW w:w="3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Leasehold land </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 to 50 years</w:t>
            </w:r>
          </w:p>
        </w:tc>
      </w:tr>
      <w:tr>
        <w:trPr/>
        <w:tc>
          <w:tcPr>
            <w:tcW w:w="35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Building and office space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 to 20 years</w:t>
            </w:r>
          </w:p>
        </w:tc>
      </w:tr>
      <w:tr>
        <w:trPr/>
        <w:tc>
          <w:tcPr>
            <w:tcW w:w="35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Office furniture, fittings and equipment</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years</w:t>
            </w:r>
          </w:p>
        </w:tc>
      </w:tr>
      <w:tr>
        <w:trPr/>
        <w:tc>
          <w:tcPr>
            <w:tcW w:w="35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Motor vehicles</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 years</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ownership of the leased asset transfers to the Group at the end of the lease term or the cost reflects the exercise of a purchase option, depreciation is calculated using the estimated useful life of the asset.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right-of-use assets are also subject to impairment. Refer to accounting policies of financial assets in Section (k) </w:t>
      </w:r>
      <w:r>
        <w:rPr>
          <w:rFonts w:ascii="Times New Roman" w:hAnsi="Times New Roman"/>
          <w:i/>
          <w:color w:val="000000"/>
          <w:sz w:val="20"/>
        </w:rPr>
        <w:t>Impairment of non-financial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(ii) Lease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(unless they are incurred to produce inventories) in the period in which the event or condition that triggers the payment occurs.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(iii) Short-term leases and leases of low-value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applies the short-term lease recognition exemption to its short-term leases of machinery and equipment (i.e., those leases that have a lease term of 12 months or less from the commencement date and do not contain a purchase option). It also applies the lease of low-value assets recognition exemption to leases of office equipment that are considered to be low value. Lease payments on short-term leases and leases of low value assets are recognized as expense on a straight-line basis over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Accounting policies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120" w:after="283"/>
        <w:jc w:val="both"/>
        <w:rPr>
          <w:rFonts w:ascii="Times New Roman" w:hAnsi="Times New Roman"/>
          <w:sz w:val="20"/>
        </w:rPr>
      </w:pPr>
      <w:r>
        <w:rPr>
          <w:rFonts w:ascii="Times New Roman" w:hAnsi="Times New Roman"/>
          <w:b/>
          <w:color w:val="000000"/>
          <w:sz w:val="20"/>
        </w:rPr>
        <w:t>Summary of material accounting policies (cont’d)</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(q)</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Group as a lessor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Leases in which the Group does not transfer substantially all the risks and rewards incidental to ownership of an asset are classified as operating leases. Rental income arising is accounted for on a straight-line basis over the lease terms and is included in other income in the income statement. Initial direct costs incurred in negotiating and arranging an operating lease are added to the carrying amount of the leased asset and recognized over the lease term on the same basis as rental income. Contingent rents are recognized as income in the period in which they are earned.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Significant accounting judgments, estimates and assumptions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the Group’s consolidated financial statements requires management to make judgments, estimates and assumptions that affect the reported amounts of revenues, expenses, assets and liabilities, and the disclosure of contingent liabilities at the end of each reporting period. However, uncertainty about these assumptions and estimates could result in outcomes that require a material adjustment to the carrying amount of assets or liabilities affected in future periods.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disclosures relating to the Group’s exposure to risks and uncertainties includes: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management (Note 34)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risk management objectives and policies (Note 33)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Sensitivity analyses disclosures (Note 13 and 33)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Judgments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process of applying the Group’s accounting policies, management has made the following judgments, apart from those involving estimates, which have the most significant effect on the amounts recognized in the consolidated financial statements: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from Contracts with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applied the following judgments that significantly affect the determination of the amount and timing of revenue from contracts with customers: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Identifying contract price and performance obligations in sales of engines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Group provides certain warranties for both general repairs and maintenance service as part of the sales of engines. For general repairs, such warranties will be assurance-type warranty that is accounted for under IAS 37 </w:t>
      </w:r>
      <w:r>
        <w:rPr>
          <w:rFonts w:ascii="Times New Roman" w:hAnsi="Times New Roman"/>
          <w:i/>
          <w:color w:val="000000"/>
          <w:sz w:val="20"/>
        </w:rPr>
        <w:t>Provisions, Contingent Liabilities and Contingent Assets</w:t>
      </w:r>
      <w:r>
        <w:rPr>
          <w:rFonts w:ascii="Times New Roman" w:hAnsi="Times New Roman"/>
          <w:color w:val="000000"/>
          <w:sz w:val="20"/>
        </w:rPr>
        <w:t xml:space="preserve">. For maintenance services, it is accounted for as a service-type warranty which are capable of being distinct and customers can benefit from the service on its own. Hence, the Group identify two separate performance obligation, one is the promise to transfer the engine and the other one is to provide maintenance services after reaching certain on-road mileage or running hours. Consequently, the Group allocate a portion of the transaction price to the engines and the maintenance services based on a combination of residual and observable price approach. Please refer to Note 7.3. </w:t>
      </w:r>
    </w:p>
    <w:p>
      <w:pPr>
        <w:pStyle w:val="TextBody"/>
        <w:bidi w:val="0"/>
        <w:spacing w:before="240" w:after="283"/>
        <w:jc w:val="both"/>
        <w:rPr>
          <w:rFonts w:ascii="Times New Roman" w:hAnsi="Times New Roman"/>
          <w:sz w:val="20"/>
        </w:rPr>
      </w:pPr>
      <w:r>
        <w:rPr>
          <w:rFonts w:ascii="Times New Roman" w:hAnsi="Times New Roman"/>
          <w:b/>
          <w:i/>
          <w:color w:val="000000"/>
          <w:sz w:val="20"/>
        </w:rPr>
        <w:t>Derecognition of bills receivable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sells bill receivable to banks on an ongoing basis depending on funding needs and money market conditions. The Group also endorses certain bills to suppliers for debts settlement. Chinese law governing bills allows recourse to be traced to all the parties in the discounting and endorsing process. Management assesses the credit rating of banks that issued these bills based on the credit rating given by the China regulators. For designated commercial banks with high credit rating and where Management believes that the contractual right to receive the cash from the Group has ceased, and has been transferred to the banks and suppliers, these bills are derecognized. The discount equal to the difference between the carrying value of the bill receivable and cash received from the banks is recorded in the statement of profit or loss. Please refer to Note 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Significant accounting judgments, estimates and assumptions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Judgments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Capitalization of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costs are capitalized in accordance with the accounting policy in Note 2.5 (h). Capitalization of development costs requires the application of management judgment to determine, what continues to constitute development activities, when a development project move from research phase into development phase, and when should cease further capitalization of development costs. Management judgment is also required to ascertain the nature of expenses that qualify for capitalization. Please refer to Note 13.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Estimates and assumptions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key assumptions concerning the future and other key sources of estimation uncertainty at the end of reporting period,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 </w:t>
      </w:r>
    </w:p>
    <w:p>
      <w:pPr>
        <w:pStyle w:val="TextBody"/>
        <w:bidi w:val="0"/>
        <w:spacing w:before="240" w:after="283"/>
        <w:jc w:val="both"/>
        <w:rPr>
          <w:rFonts w:ascii="Times New Roman" w:hAnsi="Times New Roman"/>
          <w:sz w:val="20"/>
        </w:rPr>
      </w:pPr>
      <w:r>
        <w:rPr>
          <w:rFonts w:ascii="Times New Roman" w:hAnsi="Times New Roman"/>
          <w:b/>
          <w:i/>
          <w:color w:val="000000"/>
          <w:sz w:val="20"/>
        </w:rPr>
        <w:t>Impairment of non-financial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Impairment exists when the carrying value of an asset or cash-generating unit exceeds its recoverable amount, which is the higher of its fair value less costs of disposal and its value in use. The value in use calculation is based on a discounted cash flow (“DCF”) model. The cash flows are derived from the forecasts for the next five to ten years and do not include restructuring activities that the Group is not yet committed to or significant future investments that will enhance the asset’s performance of the CGU being tested. The Group, based on its history of operations, believes that the adoption of forecast for more than five years is reasonable. The recoverable amount is sensitive to the discount rate used for the DCF model as well as the expected future cash-inflows and the growth rate used for extrapolation purposes. These estimates are most relevant to goodwill, development costs and trademarks recognized by the Group. The key assumptions used to determine the recoverable amount for the different CGUs and assets, including a sensitivity analysis, are disclosed and further explained in Note 13.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Investments in subsidiaries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Details of significant subsidiaries of the Group are as follows: </w:t>
      </w:r>
    </w:p>
    <w:p>
      <w:pPr>
        <w:pStyle w:val="TextBody"/>
        <w:bidi w:val="0"/>
        <w:jc w:val="left"/>
        <w:rPr/>
      </w:pPr>
      <w:r>
        <w:rPr/>
        <w:t> </w:t>
      </w:r>
    </w:p>
    <w:tbl>
      <w:tblPr>
        <w:tblW w:w="8557" w:type="dxa"/>
        <w:jc w:val="left"/>
        <w:tblInd w:w="0" w:type="dxa"/>
        <w:tblLayout w:type="fixed"/>
        <w:tblCellMar>
          <w:top w:w="28" w:type="dxa"/>
          <w:left w:w="28" w:type="dxa"/>
          <w:bottom w:w="28" w:type="dxa"/>
          <w:right w:w="28" w:type="dxa"/>
        </w:tblCellMar>
      </w:tblPr>
      <w:tblGrid>
        <w:gridCol w:w="5086"/>
        <w:gridCol w:w="146"/>
        <w:gridCol w:w="1156"/>
        <w:gridCol w:w="146"/>
        <w:gridCol w:w="916"/>
        <w:gridCol w:w="146"/>
        <w:gridCol w:w="96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significant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 of</w:t>
              <w:br/>
              <w:t>incorporation/</w:t>
              <w:br/>
              <w:t>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Group’s effective</w:t>
              <w:br/>
              <w:t>equity interest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Guangxi Yuchai Machinery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Guangxi Yuchai Marine and Genset Power Co., Ltd. (“MGP”)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71.8</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Yuchai Simlan Technology Co., Ltd. (“Yuchai Simlan”)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67.0</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Guangxi Yuchai Machinery Sales and Marketing </w:t>
              <w:br/>
              <w:t>   Development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54.9</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Guangxi Yuchai Foundry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HL Global Enterprises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50.4</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 has the following subsidiary that has non-controlling interests (“NCI”) that are material to the Group. </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3571"/>
        <w:gridCol w:w="146"/>
        <w:gridCol w:w="916"/>
        <w:gridCol w:w="146"/>
        <w:gridCol w:w="916"/>
        <w:gridCol w:w="146"/>
        <w:gridCol w:w="96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Proportion of equity interest held by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rFonts w:ascii="Times New Roman" w:hAnsi="Times New Roman"/>
          <w:b/>
          <w:color w:val="000000"/>
          <w:sz w:val="20"/>
        </w:rPr>
      </w:pPr>
      <w:r>
        <w:rPr>
          <w:rFonts w:ascii="Times New Roman" w:hAnsi="Times New Roman"/>
          <w:b/>
          <w:color w:val="000000"/>
          <w:sz w:val="20"/>
        </w:rPr>
        <w:t>Investments in subsidiaries (cont’d)</w:t>
      </w:r>
    </w:p>
    <w:p>
      <w:pPr>
        <w:pStyle w:val="TextBody"/>
        <w:bidi w:val="0"/>
        <w:jc w:val="left"/>
        <w:rPr/>
      </w:pPr>
      <w:r>
        <w:rPr/>
        <w:t> </w:t>
      </w:r>
    </w:p>
    <w:tbl>
      <w:tblPr>
        <w:tblW w:w="8762" w:type="dxa"/>
        <w:jc w:val="left"/>
        <w:tblInd w:w="0" w:type="dxa"/>
        <w:tblLayout w:type="fixed"/>
        <w:tblCellMar>
          <w:top w:w="28" w:type="dxa"/>
          <w:left w:w="28" w:type="dxa"/>
          <w:bottom w:w="28" w:type="dxa"/>
          <w:right w:w="28" w:type="dxa"/>
        </w:tblCellMar>
      </w:tblPr>
      <w:tblGrid>
        <w:gridCol w:w="3391"/>
        <w:gridCol w:w="146"/>
        <w:gridCol w:w="146"/>
        <w:gridCol w:w="931"/>
        <w:gridCol w:w="146"/>
        <w:gridCol w:w="146"/>
        <w:gridCol w:w="146"/>
        <w:gridCol w:w="931"/>
        <w:gridCol w:w="146"/>
        <w:gridCol w:w="146"/>
        <w:gridCol w:w="146"/>
        <w:gridCol w:w="931"/>
        <w:gridCol w:w="146"/>
        <w:gridCol w:w="146"/>
        <w:gridCol w:w="146"/>
        <w:gridCol w:w="78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balances of material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Profit allocated to material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Dividends paid to material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Summarized financial information including goodwill on acquisition and consolidation adjustments but before intercompany eliminations of subsidiaries with material non-controlling interests are as follows: </w:t>
      </w:r>
    </w:p>
    <w:p>
      <w:pPr>
        <w:pStyle w:val="TextBody"/>
        <w:bidi w:val="0"/>
        <w:jc w:val="left"/>
        <w:rPr/>
      </w:pPr>
      <w:r>
        <w:rPr/>
        <w:t> </w:t>
      </w:r>
    </w:p>
    <w:tbl>
      <w:tblPr>
        <w:tblW w:w="5785" w:type="dxa"/>
        <w:jc w:val="left"/>
        <w:tblInd w:w="0" w:type="dxa"/>
        <w:tblLayout w:type="fixed"/>
        <w:tblCellMar>
          <w:top w:w="28" w:type="dxa"/>
          <w:left w:w="28" w:type="dxa"/>
          <w:bottom w:w="28" w:type="dxa"/>
          <w:right w:w="28" w:type="dxa"/>
        </w:tblCellMar>
      </w:tblPr>
      <w:tblGrid>
        <w:gridCol w:w="4246"/>
        <w:gridCol w:w="146"/>
        <w:gridCol w:w="146"/>
        <w:gridCol w:w="1036"/>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Yuchai</w:t>
              <w:b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18,015,280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after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1,217,574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845" w:type="dxa"/>
        <w:jc w:val="left"/>
        <w:tblInd w:w="0" w:type="dxa"/>
        <w:tblLayout w:type="fixed"/>
        <w:tblCellMar>
          <w:top w:w="28" w:type="dxa"/>
          <w:left w:w="28" w:type="dxa"/>
          <w:bottom w:w="28" w:type="dxa"/>
          <w:right w:w="28" w:type="dxa"/>
        </w:tblCellMar>
      </w:tblPr>
      <w:tblGrid>
        <w:gridCol w:w="4246"/>
        <w:gridCol w:w="146"/>
        <w:gridCol w:w="146"/>
        <w:gridCol w:w="1096"/>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Yuchai</w:t>
              <w:b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excluding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(1,451,625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11,453,705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11,453,705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2,921,456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19,102,797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after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NCI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4.</w:t>
      </w:r>
    </w:p>
    <w:p>
      <w:pPr>
        <w:pStyle w:val="TextBody"/>
        <w:bidi w:val="0"/>
        <w:jc w:val="both"/>
        <w:rPr>
          <w:rFonts w:ascii="Times New Roman" w:hAnsi="Times New Roman"/>
          <w:b/>
          <w:color w:val="000000"/>
          <w:sz w:val="20"/>
        </w:rPr>
      </w:pPr>
      <w:r>
        <w:rPr>
          <w:rFonts w:ascii="Times New Roman" w:hAnsi="Times New Roman"/>
          <w:b/>
          <w:color w:val="000000"/>
          <w:sz w:val="20"/>
        </w:rPr>
        <w:t>Investments in subsidiaries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Summarized financial information including goodwill on acquisition and consolidation adjustments but before intercompany eliminations of subsidiaries with material non-controlling interests are as follows (cont’d): </w:t>
      </w:r>
    </w:p>
    <w:p>
      <w:pPr>
        <w:pStyle w:val="TextBody"/>
        <w:bidi w:val="0"/>
        <w:jc w:val="left"/>
        <w:rPr/>
      </w:pPr>
      <w:r>
        <w:rPr/>
        <w:t> </w:t>
      </w:r>
    </w:p>
    <w:tbl>
      <w:tblPr>
        <w:tblW w:w="7294" w:type="dxa"/>
        <w:jc w:val="left"/>
        <w:tblInd w:w="0" w:type="dxa"/>
        <w:tblLayout w:type="fixed"/>
        <w:tblCellMar>
          <w:top w:w="28" w:type="dxa"/>
          <w:left w:w="28" w:type="dxa"/>
          <w:bottom w:w="28" w:type="dxa"/>
          <w:right w:w="28" w:type="dxa"/>
        </w:tblCellMar>
      </w:tblPr>
      <w:tblGrid>
        <w:gridCol w:w="4246"/>
        <w:gridCol w:w="146"/>
        <w:gridCol w:w="146"/>
        <w:gridCol w:w="1096"/>
        <w:gridCol w:w="166"/>
        <w:gridCol w:w="146"/>
        <w:gridCol w:w="146"/>
        <w:gridCol w:w="99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Yuchai</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financial 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 excluding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3,092,931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3,557,195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after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NCI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Summarized statement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Significant restrictions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nature and extent of significant restrictions on the Group’s ability to use or access assets and settle liabilities of subsidiaries with material non-controlling interests 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the end of the reporting period, cash and cash equivalents of RMB 7.0 billion (US$1.0 billion) (2024: RMB 5.5 billion) held in the PRC are subject to local exchange control regulations. These regulations place restriction on the amount of currency being exported other than through dividends, trade and service-related transactions. </w:t>
      </w:r>
    </w:p>
    <w:p>
      <w:pPr>
        <w:pStyle w:val="TextBody"/>
        <w:bidi w:val="0"/>
        <w:spacing w:before="240" w:after="283"/>
        <w:jc w:val="both"/>
        <w:rPr>
          <w:rFonts w:ascii="Times New Roman" w:hAnsi="Times New Roman"/>
          <w:sz w:val="20"/>
        </w:rPr>
      </w:pPr>
      <w:r>
        <w:rPr>
          <w:rFonts w:ascii="Times New Roman" w:hAnsi="Times New Roman"/>
          <w:b/>
          <w:color w:val="000000"/>
          <w:sz w:val="20"/>
        </w:rPr>
        <w:t>Dilution of ownership in subsidiary, without loss of control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2024, Yuchai’s shareholders approved the implementation of Guangxi Yuchai Machinery Company Limited Equity Holding Scheme (the “Yuchai Equity Scheme”) and Guangxi Yuchai Marine and Genset Power Co., Ltd Incentive Scheme (the "MGP Incentive Scheme”) (collectively, the “Two Schemes”). Pursuant to Two Schemes, MGP issued additional shares and received contribution of RMB 82.9 million. As a result, the Group’s effective equity interest in MGP decreased from 76.4% to 71.4%.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2025, Yuchai’s shareholders approved the implementation of Guangxi SKY Cloud Technology Co., Ltd. Equity Incentive Plan (the “Sky Cloud Equity Plan”). Pursuant to Sky Cloud Equity Plan, Sky Cloud issued additional shares and received contribution of RMB 1.1 million (US$0.2 million). As a result, the Group’s effective equity interest in Sky Cloud decreased from 76.4% to 62.8%.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Investments in subsidiaries (cont’d)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 of ownership in subsidiary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HL Global Enterprises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the Group’s subsidiary company, Grace Star Services Ltd., acquired an additional equity interest in HLGE from its non-controlling interests for a cash consideration of RMB 0.4 million (US$0.1 million). As a result, the Group’s effective interest in HLGE increased from 50.2% to 50.4%.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difference of RMB 0.6 million (US$0.1 million) between the consideration and the carrying value of the additional interest acquired has been recognized as “discount on acquisition of non-controlling interests” within equity.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Guangxi Yuchai Marine and Genset Power Co., Ltd.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Yuchai acquired an additional interest in MGP from a participant who withdrew from the Yuchai Equity Scheme (Note 22) for a cash consideration of RMB 7.0 million (US$1.0 million). As a result, the Group’s effective interest in MGP increased from 71.4% to 71.8%.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difference of RMB 3.8 million (US$0.6 million) between the consideration and the carrying value of the additional interest acquired has been recognized as “discount on acquisition of non-controlling interests” within equity. </w:t>
      </w:r>
    </w:p>
    <w:p>
      <w:pPr>
        <w:pStyle w:val="TextBody"/>
        <w:bidi w:val="0"/>
        <w:spacing w:before="240" w:after="283"/>
        <w:jc w:val="both"/>
        <w:rPr>
          <w:rFonts w:ascii="Times New Roman" w:hAnsi="Times New Roman"/>
          <w:sz w:val="20"/>
        </w:rPr>
      </w:pPr>
      <w:r>
        <w:rPr>
          <w:rFonts w:ascii="Times New Roman" w:hAnsi="Times New Roman"/>
          <w:b/>
          <w:color w:val="000000"/>
          <w:sz w:val="20"/>
        </w:rPr>
        <w:t>Disposal of subsidiary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Yuchai disposed its entire shareholding in its wholly-owned subsidiary, Yuchai Remanufacturing Services (Suzhou) Co., Ltd. (“Suzhou Reman”), to a third party.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value of assets and liabilities of the disposal recorded in the consolidated financial statements and the cash flow effect of the disposals were: </w:t>
      </w:r>
    </w:p>
    <w:p>
      <w:pPr>
        <w:pStyle w:val="TextBody"/>
        <w:bidi w:val="0"/>
        <w:jc w:val="left"/>
        <w:rPr/>
      </w:pPr>
      <w:r>
        <w:rPr/>
        <w:t> </w:t>
      </w:r>
    </w:p>
    <w:tbl>
      <w:tblPr>
        <w:tblW w:w="5815" w:type="dxa"/>
        <w:jc w:val="left"/>
        <w:tblInd w:w="0" w:type="dxa"/>
        <w:tblLayout w:type="fixed"/>
        <w:tblCellMar>
          <w:top w:w="28" w:type="dxa"/>
          <w:left w:w="28" w:type="dxa"/>
          <w:bottom w:w="28" w:type="dxa"/>
          <w:right w:w="28" w:type="dxa"/>
        </w:tblCellMar>
      </w:tblPr>
      <w:tblGrid>
        <w:gridCol w:w="4471"/>
        <w:gridCol w:w="146"/>
        <w:gridCol w:w="146"/>
        <w:gridCol w:w="841"/>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estimated consideration less cost of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derecognized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the subsidiary (Note 7.2(a))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estimated consideration less cost of disposal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Transaction cost unpaid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proceed received but restricted in 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cash equivalents of a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Total estimated consideration due from acquirer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outflow on disposal of a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pPr>
      <w:r>
        <w:rPr>
          <w:rFonts w:ascii="Times New Roman" w:hAnsi="Times New Roman"/>
          <w:color w:val="000000"/>
          <w:sz w:val="20"/>
        </w:rPr>
        <w:t>The estimated consideration is RMB 179.9 million, along with the estimated book value of cash and cash equivalents and agreed-upon fair value for the equipment in Suzhou Reman as of December 31, 2023.</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of RMB 235.9 million was received as of December 31, 2024, of which RMB 18.4 million were retention sums which were classified as restricted cash (Note 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net cash inflow of RMB 5.2 million (US$0.8 million) from the remaining consideration for disposal of Suzhou Reman was received and the retention sums was released.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Investment in associates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Yuchai acquired 83,918,495 shares in Nanyue Diankong (Hengyang) Industrial Technology Company Limited (“NYDK”) for a cash consideration of RMB 176.2 million (US$25.5 million). This represents 27.97% of equity interest in NYDK and the carrying amount, being the Group’s cost of investment in NYDK, as at December 31, 2025 which approximates the fair values of the identifiable assets and liabilities on the acquisition date. The Group’s effective interest in NYDK is 21.4%. As of December 31, 2025, Yuchai has made a cash payment of RMB 35.2 million (US$5.1 million) for the acquisition.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NYDK’s principal place of business is in PRC, it is a high-tech and industry leader which specializes in fuel injection systems, including common rail systems, unit pumps and mechanical pumps.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Yuchai participated as a limited partner with 33.3% interest in Guangxi Yuchai Double Growth Fund (“Growth Fund”), a newly established private equity fund. Yuchai has made a cash contribution of RMB 133.2 million (US$19.2 million) to the Growth Fund, being the carrying amount as at December 31, 2025. The Group’s effective interest in Growth Fund is 25.4%.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Fund’s principal place of business is in PRC, it is intended for equity investments to advance innovative solutions related to Yuchai’s businesses and future developments, with a focus on emerging engine-related and new energy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considers the Growth Fund as an associate as it has significant influence, but not control, over the financial and operating policies of Growth Fund through its participating interest and representation on the Fund Investment Committee that makes investing decisions.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NYDK and Growth Fund have immaterial contribution to the Group’s net income for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outstanding bills receivables discounted with banks for which an associate retained a recourse obligation totaled RMB 55.7 million (US$8.0 million) (2024: Nil).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outstanding bills receivables endorsed to suppliers for which an associate retained a recourse obligation were RMB 6.9 million (US$1.0 million) (2024: Nil). </w:t>
      </w:r>
    </w:p>
    <w:p>
      <w:pPr>
        <w:pStyle w:val="TextBody"/>
        <w:bidi w:val="0"/>
        <w:spacing w:before="240" w:after="283"/>
        <w:jc w:val="both"/>
        <w:rPr>
          <w:rFonts w:ascii="Times New Roman" w:hAnsi="Times New Roman"/>
          <w:sz w:val="20"/>
        </w:rPr>
      </w:pPr>
      <w:r>
        <w:rPr>
          <w:rFonts w:ascii="Times New Roman" w:hAnsi="Times New Roman"/>
          <w:b/>
          <w:color w:val="000000"/>
          <w:sz w:val="20"/>
        </w:rPr>
        <w:t>Significant restrictions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nature and extent of significant restrictions on the Group’s ability to use or access assets and settle liabilities of the associates 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share of cash and cash equivalents of RMB 136.9 million (US$19.8 million) (2024: Nil) held in the PRC are subject to local exchange control regulations. These regulations places restriction on the amount of currency being exported other than through dividends, trade and service-related transactions.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restricted cash of RMB 5.9 million (US$0.9 million) (2024: Nil), which was largely used as collateral by the banks for the issuance of bills to suppliers.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bills receivables of RMB 17.1 million (US$2.5 million) (2024: Nil), which was used as collateral by the banks for the issuance of bills to suppliers.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Investment in joint ventures </w:t>
      </w:r>
    </w:p>
    <w:p>
      <w:pPr>
        <w:pStyle w:val="TextBody"/>
        <w:bidi w:val="0"/>
        <w:jc w:val="both"/>
        <w:rPr/>
      </w:pPr>
      <w:r>
        <w:rPr/>
        <w:t> </w:t>
      </w:r>
    </w:p>
    <w:tbl>
      <w:tblPr>
        <w:tblW w:w="8805" w:type="dxa"/>
        <w:jc w:val="left"/>
        <w:tblInd w:w="0" w:type="dxa"/>
        <w:tblLayout w:type="fixed"/>
        <w:tblCellMar>
          <w:top w:w="28" w:type="dxa"/>
          <w:left w:w="28" w:type="dxa"/>
          <w:bottom w:w="28" w:type="dxa"/>
          <w:right w:w="28" w:type="dxa"/>
        </w:tblCellMar>
      </w:tblPr>
      <w:tblGrid>
        <w:gridCol w:w="3646"/>
        <w:gridCol w:w="146"/>
        <w:gridCol w:w="162"/>
        <w:gridCol w:w="754"/>
        <w:gridCol w:w="166"/>
        <w:gridCol w:w="146"/>
        <w:gridCol w:w="146"/>
        <w:gridCol w:w="781"/>
        <w:gridCol w:w="166"/>
        <w:gridCol w:w="146"/>
        <w:gridCol w:w="146"/>
        <w:gridCol w:w="781"/>
        <w:gridCol w:w="166"/>
        <w:gridCol w:w="146"/>
        <w:gridCol w:w="162"/>
        <w:gridCol w:w="754"/>
        <w:gridCol w:w="3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of results of joint ventures,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 &amp; C Engine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MTU Yuchai Power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Guangxi Purem Yuchai Automotive </w:t>
              <w:br/>
              <w:t>   Technology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157" w:type="dxa"/>
        <w:jc w:val="left"/>
        <w:tblInd w:w="0" w:type="dxa"/>
        <w:tblLayout w:type="fixed"/>
        <w:tblCellMar>
          <w:top w:w="28" w:type="dxa"/>
          <w:left w:w="28" w:type="dxa"/>
          <w:bottom w:w="28" w:type="dxa"/>
          <w:right w:w="28" w:type="dxa"/>
        </w:tblCellMar>
      </w:tblPr>
      <w:tblGrid>
        <w:gridCol w:w="4266"/>
        <w:gridCol w:w="146"/>
        <w:gridCol w:w="146"/>
        <w:gridCol w:w="781"/>
        <w:gridCol w:w="146"/>
        <w:gridCol w:w="146"/>
        <w:gridCol w:w="146"/>
        <w:gridCol w:w="781"/>
        <w:gridCol w:w="146"/>
        <w:gridCol w:w="146"/>
        <w:gridCol w:w="162"/>
        <w:gridCol w:w="754"/>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 &amp; C Engine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MTU Yuchai Power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Guangxi Purem Yuchai Automotive Technology</w:t>
              <w:br/>
              <w:t>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Details of significant joint ventures of the Group are as follows: </w:t>
      </w:r>
    </w:p>
    <w:p>
      <w:pPr>
        <w:pStyle w:val="TextBody"/>
        <w:bidi w:val="0"/>
        <w:jc w:val="left"/>
        <w:rPr/>
      </w:pPr>
      <w:r>
        <w:rPr/>
        <w:t> </w:t>
      </w:r>
    </w:p>
    <w:tbl>
      <w:tblPr>
        <w:tblW w:w="9407" w:type="dxa"/>
        <w:jc w:val="left"/>
        <w:tblInd w:w="0" w:type="dxa"/>
        <w:tblLayout w:type="fixed"/>
        <w:tblCellMar>
          <w:top w:w="28" w:type="dxa"/>
          <w:left w:w="28" w:type="dxa"/>
          <w:bottom w:w="28" w:type="dxa"/>
          <w:right w:w="28" w:type="dxa"/>
        </w:tblCellMar>
      </w:tblPr>
      <w:tblGrid>
        <w:gridCol w:w="3076"/>
        <w:gridCol w:w="146"/>
        <w:gridCol w:w="2356"/>
        <w:gridCol w:w="146"/>
        <w:gridCol w:w="1156"/>
        <w:gridCol w:w="146"/>
        <w:gridCol w:w="218"/>
        <w:gridCol w:w="698"/>
        <w:gridCol w:w="179"/>
        <w:gridCol w:w="179"/>
        <w:gridCol w:w="218"/>
        <w:gridCol w:w="698"/>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 of</w:t>
              <w:br/>
              <w:t>incorporation/</w:t>
              <w:br/>
              <w:t>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Group’s effective equity</w:t>
              <w:br/>
              <w:t>interest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Held by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 &amp; C Engine Co., Ltd (“Y&amp;C”)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Manufacture and sale of</w:t>
              <w:br/>
              <w:t>heavy-duty diesel engines,</w:t>
              <w:br/>
              <w:t>spare parts and after-sales</w:t>
              <w:b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MTU Yuchai Power Co., Ltd</w:t>
              <w:br/>
              <w:t>    (“MTU Yuchai Power”)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Manufacture off-road diesel</w:t>
              <w:br/>
              <w:t>engines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Guangxi Purem Yuchai Automotive </w:t>
              <w:br/>
              <w:t>   Technology Co., Ltd. (“Purem”)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Application development,</w:t>
              <w:br/>
              <w:t>production, sales and</w:t>
              <w:br/>
              <w:t>service on engine exhaust</w:t>
              <w:br/>
              <w:t>control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Investment in joint ventures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Summarized financial information of the Group’s significant joint ventures, based on its IFRS financial statements, and reconciliation with the carrying amount of investment in the consolidated financial statements are as follows: </w:t>
      </w:r>
    </w:p>
    <w:p>
      <w:pPr>
        <w:pStyle w:val="TextBody"/>
        <w:bidi w:val="0"/>
        <w:jc w:val="left"/>
        <w:rPr/>
      </w:pPr>
      <w:r>
        <w:rPr/>
        <w:t> </w:t>
      </w:r>
    </w:p>
    <w:tbl>
      <w:tblPr>
        <w:tblW w:w="10015" w:type="dxa"/>
        <w:jc w:val="left"/>
        <w:tblInd w:w="0" w:type="dxa"/>
        <w:tblLayout w:type="fixed"/>
        <w:tblCellMar>
          <w:top w:w="28" w:type="dxa"/>
          <w:left w:w="28" w:type="dxa"/>
          <w:bottom w:w="28" w:type="dxa"/>
          <w:right w:w="28" w:type="dxa"/>
        </w:tblCellMar>
      </w:tblPr>
      <w:tblGrid>
        <w:gridCol w:w="4306"/>
        <w:gridCol w:w="146"/>
        <w:gridCol w:w="146"/>
        <w:gridCol w:w="931"/>
        <w:gridCol w:w="271"/>
        <w:gridCol w:w="146"/>
        <w:gridCol w:w="177"/>
        <w:gridCol w:w="948"/>
        <w:gridCol w:w="271"/>
        <w:gridCol w:w="146"/>
        <w:gridCol w:w="146"/>
        <w:gridCol w:w="676"/>
        <w:gridCol w:w="271"/>
        <w:gridCol w:w="146"/>
        <w:gridCol w:w="146"/>
        <w:gridCol w:w="931"/>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 &amp; C</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MTU</w:t>
              <w:br/>
              <w:t>Yuchai Power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Purem</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1,562,179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Profit/(loss) for the year, representing total </w:t>
              <w:br/>
              <w:t>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Proportion of the Group’s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profit on transactions with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results of significant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Group’s share of results of other joint ventures, </w:t>
              <w:br/>
              <w:t xml:space="preserve">   representing the Group’s share of total </w:t>
              <w:br/>
              <w:t>   comprehensive loss of other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Group’s share of results for the year,</w:t>
              <w:br/>
              <w:t xml:space="preserve">   representing the Group’s share of total </w:t>
              <w:br/>
              <w:t>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730" w:type="dxa"/>
        <w:jc w:val="left"/>
        <w:tblInd w:w="0" w:type="dxa"/>
        <w:tblLayout w:type="fixed"/>
        <w:tblCellMar>
          <w:top w:w="28" w:type="dxa"/>
          <w:left w:w="28" w:type="dxa"/>
          <w:bottom w:w="28" w:type="dxa"/>
          <w:right w:w="28" w:type="dxa"/>
        </w:tblCellMar>
      </w:tblPr>
      <w:tblGrid>
        <w:gridCol w:w="3796"/>
        <w:gridCol w:w="146"/>
        <w:gridCol w:w="146"/>
        <w:gridCol w:w="991"/>
        <w:gridCol w:w="271"/>
        <w:gridCol w:w="146"/>
        <w:gridCol w:w="166"/>
        <w:gridCol w:w="959"/>
        <w:gridCol w:w="271"/>
        <w:gridCol w:w="146"/>
        <w:gridCol w:w="146"/>
        <w:gridCol w:w="781"/>
        <w:gridCol w:w="271"/>
        <w:gridCol w:w="146"/>
        <w:gridCol w:w="146"/>
        <w:gridCol w:w="99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 &amp; C</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MTU</w:t>
              <w:br/>
              <w:t>Yuchai Power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Purem</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Cash and bank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2,180,281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(1,279,233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(1,026,797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Proportion of the Group’s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profit on transactions with joint </w:t>
              <w:br/>
              <w: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of significant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of other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Carrying amount of the investment in joint </w:t>
              <w:br/>
              <w: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Investment in joint ventures (cont’d)</w:t>
      </w:r>
    </w:p>
    <w:p>
      <w:pPr>
        <w:pStyle w:val="TextBody"/>
        <w:bidi w:val="0"/>
        <w:jc w:val="left"/>
        <w:rPr/>
      </w:pPr>
      <w:r>
        <w:rPr/>
        <w:t> </w:t>
      </w:r>
    </w:p>
    <w:tbl>
      <w:tblPr>
        <w:tblW w:w="9370" w:type="dxa"/>
        <w:jc w:val="left"/>
        <w:tblInd w:w="0" w:type="dxa"/>
        <w:tblLayout w:type="fixed"/>
        <w:tblCellMar>
          <w:top w:w="28" w:type="dxa"/>
          <w:left w:w="28" w:type="dxa"/>
          <w:bottom w:w="28" w:type="dxa"/>
          <w:right w:w="28" w:type="dxa"/>
        </w:tblCellMar>
      </w:tblPr>
      <w:tblGrid>
        <w:gridCol w:w="3661"/>
        <w:gridCol w:w="146"/>
        <w:gridCol w:w="146"/>
        <w:gridCol w:w="931"/>
        <w:gridCol w:w="271"/>
        <w:gridCol w:w="146"/>
        <w:gridCol w:w="177"/>
        <w:gridCol w:w="948"/>
        <w:gridCol w:w="271"/>
        <w:gridCol w:w="146"/>
        <w:gridCol w:w="146"/>
        <w:gridCol w:w="676"/>
        <w:gridCol w:w="271"/>
        <w:gridCol w:w="146"/>
        <w:gridCol w:w="146"/>
        <w:gridCol w:w="931"/>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 &amp; C</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MTU</w:t>
              <w:br/>
              <w:t>Yuchai Power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Purem</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1,492,662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2,544,553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 representing total</w:t>
              <w:br/>
              <w:t>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173,606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Proportion of the Group’s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profit on transactions with joint</w:t>
              <w:br/>
              <w: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results of significant joint</w:t>
              <w:br/>
              <w: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Group’s share of results of other joint </w:t>
              <w:br/>
              <w:t xml:space="preserve">   ventures, representing the Group’s share </w:t>
              <w:br/>
              <w:t xml:space="preserve">   of total comprehensive loss of other joint </w:t>
              <w:br/>
              <w: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Group’s share of results for the year,</w:t>
              <w:br/>
              <w:t>   representing the Group’s share of</w:t>
              <w:br/>
              <w:t>   total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4"/>
        <w:gridCol w:w="146"/>
        <w:gridCol w:w="146"/>
        <w:gridCol w:w="991"/>
        <w:gridCol w:w="271"/>
        <w:gridCol w:w="146"/>
        <w:gridCol w:w="151"/>
        <w:gridCol w:w="971"/>
        <w:gridCol w:w="271"/>
        <w:gridCol w:w="146"/>
        <w:gridCol w:w="146"/>
        <w:gridCol w:w="781"/>
        <w:gridCol w:w="271"/>
        <w:gridCol w:w="146"/>
        <w:gridCol w:w="146"/>
        <w:gridCol w:w="991"/>
        <w:gridCol w:w="166"/>
        <w:gridCol w:w="146"/>
        <w:gridCol w:w="146"/>
        <w:gridCol w:w="841"/>
        <w:gridCol w:w="212"/>
      </w:tblGrid>
      <w:tr>
        <w:trPr/>
        <w:tc>
          <w:tcPr>
            <w:tcW w:w="2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 &amp; C</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MTU</w:t>
              <w:br/>
              <w:t>Yuchai Power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Purem</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Cash and bank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106,737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152,954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1,281,142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355,503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(226,812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(1,171,188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(248,015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Proportion of the Group’s</w:t>
              <w:br/>
              <w:t>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profit on transactions </w:t>
              <w:br/>
              <w:t>   with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of significant joint</w:t>
              <w:br/>
              <w: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 of other joint</w:t>
              <w:br/>
              <w: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amount of the</w:t>
              <w:br/>
              <w:t>   investment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Investment in joint ventures (cont’d)</w:t>
      </w:r>
    </w:p>
    <w:tbl>
      <w:tblPr>
        <w:tblW w:w="10096" w:type="dxa"/>
        <w:jc w:val="left"/>
        <w:tblInd w:w="0" w:type="dxa"/>
        <w:tblLayout w:type="fixed"/>
        <w:tblCellMar>
          <w:top w:w="28" w:type="dxa"/>
          <w:left w:w="28" w:type="dxa"/>
          <w:bottom w:w="28" w:type="dxa"/>
          <w:right w:w="28" w:type="dxa"/>
        </w:tblCellMar>
      </w:tblPr>
      <w:tblGrid>
        <w:gridCol w:w="3091"/>
        <w:gridCol w:w="146"/>
        <w:gridCol w:w="146"/>
        <w:gridCol w:w="931"/>
        <w:gridCol w:w="271"/>
        <w:gridCol w:w="146"/>
        <w:gridCol w:w="146"/>
        <w:gridCol w:w="931"/>
        <w:gridCol w:w="271"/>
        <w:gridCol w:w="146"/>
        <w:gridCol w:w="146"/>
        <w:gridCol w:w="781"/>
        <w:gridCol w:w="271"/>
        <w:gridCol w:w="146"/>
        <w:gridCol w:w="146"/>
        <w:gridCol w:w="931"/>
        <w:gridCol w:w="166"/>
        <w:gridCol w:w="146"/>
        <w:gridCol w:w="146"/>
        <w:gridCol w:w="781"/>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 &amp; C</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MTU</w:t>
              <w:br/>
              <w:t>Yuchai</w:t>
              <w:br/>
              <w:t>Power</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Purem</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for the year, representing total</w:t>
              <w:br/>
              <w:t>   comprehensive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Proportion of the Group’s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Group’s share of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profit on transactions </w:t>
              <w:br/>
              <w:t>   with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Group’s share of results of </w:t>
              <w:br/>
              <w:t>   significant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Group’s share of results of other </w:t>
              <w:br/>
              <w:t xml:space="preserve">   joint ventures, representing the </w:t>
              <w:br/>
              <w:t xml:space="preserve">   Group’s share of total </w:t>
              <w:br/>
              <w:t>   comprehensive loss of other joint</w:t>
              <w:br/>
              <w: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Group’s share of results for the </w:t>
              <w:br/>
              <w:t xml:space="preserve">   year, representing the Group’s </w:t>
              <w:br/>
              <w:t>   share of total comprehensive</w:t>
              <w:br/>
              <w:t>   income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the Group received dividends of RMB 100.0 million (US$14.4 million) from a joint venture (2024: Nil; 2023: RMB 2.8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assess impairment of investments when adverse events or changes in circumstances indicate that the carrying amounts may not be recoverable. In 2024 and 2025, no impairment was required.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joint ventures’ capital commitment that are contracted but not paid for was RMB 16.6 million (US$2.4 million) (2024: RMB 9.1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outstanding bills receivables discounted with banks for which a joint venture retained a recourse obligation totaled RMB 48.9 million (US$7.1 million) (2024: RMB 18.1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outstanding bills receivables endorsed to suppliers for which a joint venture retained a recourse obligation were RMB 71.9 million (US$10.4 million) (2024: RMB 4.2 million). </w:t>
      </w:r>
    </w:p>
    <w:p>
      <w:pPr>
        <w:pStyle w:val="TextBody"/>
        <w:bidi w:val="0"/>
        <w:spacing w:before="240" w:after="283"/>
        <w:jc w:val="both"/>
        <w:rPr>
          <w:rFonts w:ascii="Times New Roman" w:hAnsi="Times New Roman"/>
          <w:sz w:val="20"/>
        </w:rPr>
      </w:pPr>
      <w:r>
        <w:rPr>
          <w:rFonts w:ascii="Times New Roman" w:hAnsi="Times New Roman"/>
          <w:b/>
          <w:color w:val="000000"/>
          <w:sz w:val="20"/>
        </w:rPr>
        <w:t>Significant restrictions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nature and extent of significant restrictions on the Group’s ability to use or access assets and settle liabilities of joint ventures 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share of cash and cash equivalents of RMB 319.8 million (US$46.2 million) (2024: RMB 331.5 million) held in the PRC are subject to local exchange control regulations. These regulations places restriction on the amount of currency being exported other than through dividends, trade and service-related transactions.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share of restricted cash of RMB 45.3 million (US$6.5 million) (2024: RMB 22.5 million), which was largely used as collateral by the banks for the issuance of bills to suppliers.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Revenue from contracts with customers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Disaggregated revenue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out below is the disaggregation of the Group’s revenue from contracts with customers: </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3706"/>
        <w:gridCol w:w="146"/>
        <w:gridCol w:w="146"/>
        <w:gridCol w:w="1036"/>
        <w:gridCol w:w="146"/>
        <w:gridCol w:w="146"/>
        <w:gridCol w:w="146"/>
        <w:gridCol w:w="676"/>
        <w:gridCol w:w="146"/>
        <w:gridCol w:w="146"/>
        <w:gridCol w:w="146"/>
        <w:gridCol w:w="103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HLGE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goods or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Heavy-duty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Medium-duty engines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Light-duty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products and services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hospitality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18,015,280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18,046,349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Geographical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18,015,280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18,046,349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Timing of revenue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17,967,452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18,015,280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18,046,349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3706"/>
        <w:gridCol w:w="146"/>
        <w:gridCol w:w="146"/>
        <w:gridCol w:w="1036"/>
        <w:gridCol w:w="146"/>
        <w:gridCol w:w="146"/>
        <w:gridCol w:w="146"/>
        <w:gridCol w:w="676"/>
        <w:gridCol w:w="146"/>
        <w:gridCol w:w="146"/>
        <w:gridCol w:w="146"/>
        <w:gridCol w:w="1036"/>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HLGE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goods or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Heavy-duty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6,417,484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Medium-duty engines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5,201,611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Light-duty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products and services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5,167,292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hospitality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19,133,575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Geographical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18,826,436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19,133,575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Timing of revenue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18,996,587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19,004,847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19,133,575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from contracts with customers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Disaggregated revenue information (cont’d)</w:t>
      </w:r>
    </w:p>
    <w:p>
      <w:pPr>
        <w:pStyle w:val="TextBody"/>
        <w:bidi w:val="0"/>
        <w:jc w:val="left"/>
        <w:rPr/>
      </w:pPr>
      <w:r>
        <w:rPr/>
        <w:t> </w:t>
      </w:r>
    </w:p>
    <w:tbl>
      <w:tblPr>
        <w:tblW w:w="9182" w:type="dxa"/>
        <w:jc w:val="left"/>
        <w:tblInd w:w="0" w:type="dxa"/>
        <w:tblLayout w:type="fixed"/>
        <w:tblCellMar>
          <w:top w:w="28" w:type="dxa"/>
          <w:left w:w="28" w:type="dxa"/>
          <w:bottom w:w="28" w:type="dxa"/>
          <w:right w:w="28" w:type="dxa"/>
        </w:tblCellMar>
      </w:tblPr>
      <w:tblGrid>
        <w:gridCol w:w="3706"/>
        <w:gridCol w:w="146"/>
        <w:gridCol w:w="146"/>
        <w:gridCol w:w="1036"/>
        <w:gridCol w:w="146"/>
        <w:gridCol w:w="146"/>
        <w:gridCol w:w="146"/>
        <w:gridCol w:w="676"/>
        <w:gridCol w:w="146"/>
        <w:gridCol w:w="146"/>
        <w:gridCol w:w="146"/>
        <w:gridCol w:w="1036"/>
        <w:gridCol w:w="146"/>
        <w:gridCol w:w="146"/>
        <w:gridCol w:w="146"/>
        <w:gridCol w:w="931"/>
        <w:gridCol w:w="1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Yuchai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HLGE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goods or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Heavy-duty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Medium-duty engines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Light-duty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products and services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hospitality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Geographical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People’s Republic of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24,218,953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Timing of revenue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24,529,962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24,539,607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from contracts with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3,562,398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sales of components and parts, power generator sets, NEV products and others.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Contract balances </w:t>
      </w:r>
    </w:p>
    <w:p>
      <w:pPr>
        <w:pStyle w:val="TextBody"/>
        <w:bidi w:val="0"/>
        <w:jc w:val="both"/>
        <w:rPr/>
      </w:pPr>
      <w:r>
        <w:rPr/>
        <w:t> </w:t>
      </w:r>
    </w:p>
    <w:tbl>
      <w:tblPr>
        <w:tblW w:w="6463" w:type="dxa"/>
        <w:jc w:val="left"/>
        <w:tblInd w:w="0" w:type="dxa"/>
        <w:tblLayout w:type="fixed"/>
        <w:tblCellMar>
          <w:top w:w="28" w:type="dxa"/>
          <w:left w:w="28" w:type="dxa"/>
          <w:bottom w:w="28" w:type="dxa"/>
          <w:right w:w="28" w:type="dxa"/>
        </w:tblCellMar>
      </w:tblPr>
      <w:tblGrid>
        <w:gridCol w:w="2461"/>
        <w:gridCol w:w="146"/>
        <w:gridCol w:w="146"/>
        <w:gridCol w:w="931"/>
        <w:gridCol w:w="146"/>
        <w:gridCol w:w="146"/>
        <w:gridCol w:w="146"/>
        <w:gridCol w:w="931"/>
        <w:gridCol w:w="146"/>
        <w:gridCol w:w="146"/>
        <w:gridCol w:w="146"/>
        <w:gridCol w:w="78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(Note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contract liabilities comprise short-term advance received from customers and unfulfilled service-type maintenance service. The advance received from customers is recognized as revenue upon the delivery of goods, and the contract liability arising from unfulfilled service-type warranty is recognized upon the completion of the maintenance services. According to the business customary practice, the remaining performance obligations (unfulfilled service-type maintenance service) at the year-end is expected to be satisfied within 2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out below is the amount of revenue recognized from: </w:t>
      </w:r>
    </w:p>
    <w:p>
      <w:pPr>
        <w:pStyle w:val="TextBody"/>
        <w:bidi w:val="0"/>
        <w:jc w:val="left"/>
        <w:rPr/>
      </w:pPr>
      <w:r>
        <w:rPr/>
        <w:t> </w:t>
      </w:r>
    </w:p>
    <w:tbl>
      <w:tblPr>
        <w:tblW w:w="7052" w:type="dxa"/>
        <w:jc w:val="left"/>
        <w:tblInd w:w="0" w:type="dxa"/>
        <w:tblLayout w:type="fixed"/>
        <w:tblCellMar>
          <w:top w:w="28" w:type="dxa"/>
          <w:left w:w="28" w:type="dxa"/>
          <w:bottom w:w="28" w:type="dxa"/>
          <w:right w:w="28" w:type="dxa"/>
        </w:tblCellMar>
      </w:tblPr>
      <w:tblGrid>
        <w:gridCol w:w="3361"/>
        <w:gridCol w:w="146"/>
        <w:gridCol w:w="146"/>
        <w:gridCol w:w="781"/>
        <w:gridCol w:w="146"/>
        <w:gridCol w:w="146"/>
        <w:gridCol w:w="146"/>
        <w:gridCol w:w="781"/>
        <w:gridCol w:w="146"/>
        <w:gridCol w:w="146"/>
        <w:gridCol w:w="162"/>
        <w:gridCol w:w="754"/>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Revenue from contracts with customers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Contract balances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Capitalized contract costs </w:t>
      </w:r>
    </w:p>
    <w:p>
      <w:pPr>
        <w:pStyle w:val="TextBody"/>
        <w:bidi w:val="0"/>
        <w:jc w:val="left"/>
        <w:rPr/>
      </w:pPr>
      <w:r>
        <w:rPr/>
        <w:t> </w:t>
      </w:r>
    </w:p>
    <w:tbl>
      <w:tblPr>
        <w:tblW w:w="8822" w:type="dxa"/>
        <w:jc w:val="left"/>
        <w:tblInd w:w="0" w:type="dxa"/>
        <w:tblLayout w:type="fixed"/>
        <w:tblCellMar>
          <w:top w:w="28" w:type="dxa"/>
          <w:left w:w="28" w:type="dxa"/>
          <w:bottom w:w="28" w:type="dxa"/>
          <w:right w:w="28" w:type="dxa"/>
        </w:tblCellMar>
      </w:tblPr>
      <w:tblGrid>
        <w:gridCol w:w="5131"/>
        <w:gridCol w:w="146"/>
        <w:gridCol w:w="146"/>
        <w:gridCol w:w="781"/>
        <w:gridCol w:w="146"/>
        <w:gridCol w:w="146"/>
        <w:gridCol w:w="146"/>
        <w:gridCol w:w="781"/>
        <w:gridCol w:w="146"/>
        <w:gridCol w:w="146"/>
        <w:gridCol w:w="162"/>
        <w:gridCol w:w="754"/>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Capitalized contract costs relating to the projects on development of </w:t>
              <w:br/>
              <w:t>    technology know-how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7.3.</w:t>
      </w:r>
    </w:p>
    <w:p>
      <w:pPr>
        <w:pStyle w:val="TextBody"/>
        <w:bidi w:val="0"/>
        <w:jc w:val="both"/>
        <w:rPr>
          <w:rFonts w:ascii="Times New Roman" w:hAnsi="Times New Roman"/>
          <w:b/>
          <w:color w:val="000000"/>
          <w:sz w:val="20"/>
        </w:rPr>
      </w:pPr>
      <w:r>
        <w:rPr>
          <w:rFonts w:ascii="Times New Roman" w:hAnsi="Times New Roman"/>
          <w:b/>
          <w:color w:val="000000"/>
          <w:sz w:val="20"/>
        </w:rPr>
        <w:t xml:space="preserve">Performance obligations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 price allocated to the remaining unsatisfied performance obligations as of 31 December are, as follows: </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5011"/>
        <w:gridCol w:w="146"/>
        <w:gridCol w:w="146"/>
        <w:gridCol w:w="781"/>
        <w:gridCol w:w="146"/>
        <w:gridCol w:w="146"/>
        <w:gridCol w:w="146"/>
        <w:gridCol w:w="781"/>
        <w:gridCol w:w="146"/>
        <w:gridCol w:w="146"/>
        <w:gridCol w:w="162"/>
        <w:gridCol w:w="754"/>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unfulfilled service-type maintenance service (Note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(a) Depreciation and amortization expenses </w:t>
      </w:r>
    </w:p>
    <w:p>
      <w:pPr>
        <w:pStyle w:val="TextBody"/>
        <w:bidi w:val="0"/>
        <w:jc w:val="left"/>
        <w:rPr/>
      </w:pPr>
      <w:r>
        <w:rPr/>
        <w:t> </w:t>
      </w:r>
    </w:p>
    <w:tbl>
      <w:tblPr>
        <w:tblW w:w="8661" w:type="dxa"/>
        <w:jc w:val="left"/>
        <w:tblInd w:w="0" w:type="dxa"/>
        <w:tblLayout w:type="fixed"/>
        <w:tblCellMar>
          <w:top w:w="28" w:type="dxa"/>
          <w:left w:w="28" w:type="dxa"/>
          <w:bottom w:w="28" w:type="dxa"/>
          <w:right w:w="28" w:type="dxa"/>
        </w:tblCellMar>
      </w:tblPr>
      <w:tblGrid>
        <w:gridCol w:w="3886"/>
        <w:gridCol w:w="146"/>
        <w:gridCol w:w="781"/>
        <w:gridCol w:w="146"/>
        <w:gridCol w:w="146"/>
        <w:gridCol w:w="146"/>
        <w:gridCol w:w="781"/>
        <w:gridCol w:w="146"/>
        <w:gridCol w:w="146"/>
        <w:gridCol w:w="146"/>
        <w:gridCol w:w="781"/>
        <w:gridCol w:w="146"/>
        <w:gridCol w:w="146"/>
        <w:gridCol w:w="146"/>
        <w:gridCol w:w="78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 investment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of right-of-use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8.1.</w:t>
      </w:r>
    </w:p>
    <w:p>
      <w:pPr>
        <w:pStyle w:val="TextBody"/>
        <w:bidi w:val="0"/>
        <w:jc w:val="both"/>
        <w:rPr>
          <w:rFonts w:ascii="Times New Roman" w:hAnsi="Times New Roman"/>
          <w:b/>
          <w:color w:val="000000"/>
          <w:sz w:val="20"/>
        </w:rPr>
      </w:pPr>
      <w:r>
        <w:rPr>
          <w:rFonts w:ascii="Times New Roman" w:hAnsi="Times New Roman"/>
          <w:b/>
          <w:color w:val="000000"/>
          <w:sz w:val="20"/>
        </w:rPr>
        <w:t xml:space="preserve">(b) Shipping and handling expenses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related shipping and handling expenses not separately billed to customers are included in the following caption: </w:t>
      </w:r>
    </w:p>
    <w:p>
      <w:pPr>
        <w:pStyle w:val="TextBody"/>
        <w:bidi w:val="0"/>
        <w:jc w:val="left"/>
        <w:rPr/>
      </w:pPr>
      <w:r>
        <w:rPr/>
        <w:t> </w:t>
      </w:r>
    </w:p>
    <w:tbl>
      <w:tblPr>
        <w:tblW w:w="8500" w:type="dxa"/>
        <w:jc w:val="left"/>
        <w:tblInd w:w="0" w:type="dxa"/>
        <w:tblLayout w:type="fixed"/>
        <w:tblCellMar>
          <w:top w:w="28" w:type="dxa"/>
          <w:left w:w="28" w:type="dxa"/>
          <w:bottom w:w="28" w:type="dxa"/>
          <w:right w:w="28" w:type="dxa"/>
        </w:tblCellMar>
      </w:tblPr>
      <w:tblGrid>
        <w:gridCol w:w="3736"/>
        <w:gridCol w:w="146"/>
        <w:gridCol w:w="781"/>
        <w:gridCol w:w="146"/>
        <w:gridCol w:w="146"/>
        <w:gridCol w:w="146"/>
        <w:gridCol w:w="781"/>
        <w:gridCol w:w="146"/>
        <w:gridCol w:w="146"/>
        <w:gridCol w:w="146"/>
        <w:gridCol w:w="781"/>
        <w:gridCol w:w="146"/>
        <w:gridCol w:w="146"/>
        <w:gridCol w:w="162"/>
        <w:gridCol w:w="754"/>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(a) Other operating income </w:t>
      </w:r>
    </w:p>
    <w:p>
      <w:pPr>
        <w:pStyle w:val="TextBody"/>
        <w:bidi w:val="0"/>
        <w:jc w:val="both"/>
        <w:rPr/>
      </w:pPr>
      <w:r>
        <w:rPr/>
        <w:t> </w:t>
      </w:r>
    </w:p>
    <w:tbl>
      <w:tblPr>
        <w:tblW w:w="9660" w:type="dxa"/>
        <w:jc w:val="left"/>
        <w:tblInd w:w="0" w:type="dxa"/>
        <w:tblLayout w:type="fixed"/>
        <w:tblCellMar>
          <w:top w:w="28" w:type="dxa"/>
          <w:left w:w="28" w:type="dxa"/>
          <w:bottom w:w="28" w:type="dxa"/>
          <w:right w:w="28" w:type="dxa"/>
        </w:tblCellMar>
      </w:tblPr>
      <w:tblGrid>
        <w:gridCol w:w="4696"/>
        <w:gridCol w:w="146"/>
        <w:gridCol w:w="781"/>
        <w:gridCol w:w="146"/>
        <w:gridCol w:w="146"/>
        <w:gridCol w:w="146"/>
        <w:gridCol w:w="781"/>
        <w:gridCol w:w="146"/>
        <w:gridCol w:w="146"/>
        <w:gridCol w:w="146"/>
        <w:gridCol w:w="781"/>
        <w:gridCol w:w="146"/>
        <w:gridCol w:w="146"/>
        <w:gridCol w:w="162"/>
        <w:gridCol w:w="754"/>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a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net gain upon fulfillment of performance</w:t>
              <w:br/>
              <w:t>   obligation relating to capitalized 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Government grants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licensing fees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Including amortization of deferred grants, rebates on value-added tax and other grants earned during the year.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8.2.</w:t>
      </w:r>
    </w:p>
    <w:p>
      <w:pPr>
        <w:pStyle w:val="TextBody"/>
        <w:bidi w:val="0"/>
        <w:jc w:val="both"/>
        <w:rPr>
          <w:rFonts w:ascii="Times New Roman" w:hAnsi="Times New Roman"/>
          <w:b/>
          <w:color w:val="000000"/>
          <w:sz w:val="20"/>
        </w:rPr>
      </w:pPr>
      <w:r>
        <w:rPr>
          <w:rFonts w:ascii="Times New Roman" w:hAnsi="Times New Roman"/>
          <w:b/>
          <w:color w:val="000000"/>
          <w:sz w:val="20"/>
        </w:rPr>
        <w:t xml:space="preserve">(b) Other operating expenses </w:t>
      </w:r>
    </w:p>
    <w:p>
      <w:pPr>
        <w:pStyle w:val="TextBody"/>
        <w:bidi w:val="0"/>
        <w:jc w:val="left"/>
        <w:rPr/>
      </w:pPr>
      <w:r>
        <w:rPr/>
        <w:t> </w:t>
      </w:r>
    </w:p>
    <w:tbl>
      <w:tblPr>
        <w:tblW w:w="8767" w:type="dxa"/>
        <w:jc w:val="left"/>
        <w:tblInd w:w="0" w:type="dxa"/>
        <w:tblLayout w:type="fixed"/>
        <w:tblCellMar>
          <w:top w:w="28" w:type="dxa"/>
          <w:left w:w="28" w:type="dxa"/>
          <w:bottom w:w="28" w:type="dxa"/>
          <w:right w:w="28" w:type="dxa"/>
        </w:tblCellMar>
      </w:tblPr>
      <w:tblGrid>
        <w:gridCol w:w="3816"/>
        <w:gridCol w:w="151"/>
        <w:gridCol w:w="765"/>
        <w:gridCol w:w="166"/>
        <w:gridCol w:w="146"/>
        <w:gridCol w:w="162"/>
        <w:gridCol w:w="754"/>
        <w:gridCol w:w="146"/>
        <w:gridCol w:w="146"/>
        <w:gridCol w:w="235"/>
        <w:gridCol w:w="681"/>
        <w:gridCol w:w="146"/>
        <w:gridCol w:w="146"/>
        <w:gridCol w:w="271"/>
        <w:gridCol w:w="645"/>
        <w:gridCol w:w="391"/>
      </w:tblGrid>
      <w:tr>
        <w:trPr/>
        <w:tc>
          <w:tcPr>
            <w:tcW w:w="38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on property, plant and equipment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 net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disposal of property, plant and equipment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liquidation of joint venture</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liquidation of subsidiary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Write-back of unrecoverable value-added tax</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8.3.</w:t>
      </w:r>
    </w:p>
    <w:p>
      <w:pPr>
        <w:pStyle w:val="TextBody"/>
        <w:bidi w:val="0"/>
        <w:jc w:val="both"/>
        <w:rPr>
          <w:rFonts w:ascii="Times New Roman" w:hAnsi="Times New Roman"/>
          <w:b/>
          <w:color w:val="000000"/>
          <w:sz w:val="20"/>
        </w:rPr>
      </w:pPr>
      <w:r>
        <w:rPr>
          <w:rFonts w:ascii="Times New Roman" w:hAnsi="Times New Roman"/>
          <w:b/>
          <w:color w:val="000000"/>
          <w:sz w:val="20"/>
        </w:rPr>
        <w:t xml:space="preserve">Finance costs </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3061"/>
        <w:gridCol w:w="146"/>
        <w:gridCol w:w="781"/>
        <w:gridCol w:w="146"/>
        <w:gridCol w:w="146"/>
        <w:gridCol w:w="162"/>
        <w:gridCol w:w="754"/>
        <w:gridCol w:w="146"/>
        <w:gridCol w:w="146"/>
        <w:gridCol w:w="162"/>
        <w:gridCol w:w="754"/>
        <w:gridCol w:w="146"/>
        <w:gridCol w:w="146"/>
        <w:gridCol w:w="186"/>
        <w:gridCol w:w="730"/>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Bills and other discounting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lease liabilities (Note 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Staff costs </w:t>
      </w:r>
    </w:p>
    <w:p>
      <w:pPr>
        <w:pStyle w:val="TextBody"/>
        <w:bidi w:val="0"/>
        <w:jc w:val="left"/>
        <w:rPr/>
      </w:pPr>
      <w:r>
        <w:rPr/>
        <w:t> </w:t>
      </w:r>
    </w:p>
    <w:tbl>
      <w:tblPr>
        <w:tblW w:w="8826" w:type="dxa"/>
        <w:jc w:val="left"/>
        <w:tblInd w:w="0" w:type="dxa"/>
        <w:tblLayout w:type="fixed"/>
        <w:tblCellMar>
          <w:top w:w="28" w:type="dxa"/>
          <w:left w:w="28" w:type="dxa"/>
          <w:bottom w:w="28" w:type="dxa"/>
          <w:right w:w="28" w:type="dxa"/>
        </w:tblCellMar>
      </w:tblPr>
      <w:tblGrid>
        <w:gridCol w:w="3601"/>
        <w:gridCol w:w="146"/>
        <w:gridCol w:w="931"/>
        <w:gridCol w:w="146"/>
        <w:gridCol w:w="146"/>
        <w:gridCol w:w="146"/>
        <w:gridCol w:w="931"/>
        <w:gridCol w:w="146"/>
        <w:gridCol w:w="146"/>
        <w:gridCol w:w="146"/>
        <w:gridCol w:w="931"/>
        <w:gridCol w:w="146"/>
        <w:gridCol w:w="146"/>
        <w:gridCol w:w="146"/>
        <w:gridCol w:w="781"/>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 to defined contribution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 severance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employee benefits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9.</w:t>
      </w:r>
    </w:p>
    <w:p>
      <w:pPr>
        <w:pStyle w:val="TextBody"/>
        <w:bidi w:val="0"/>
        <w:jc w:val="both"/>
        <w:rPr>
          <w:rFonts w:ascii="Times New Roman" w:hAnsi="Times New Roman"/>
          <w:b/>
          <w:color w:val="000000"/>
          <w:sz w:val="20"/>
        </w:rPr>
      </w:pPr>
      <w:r>
        <w:rPr>
          <w:rFonts w:ascii="Times New Roman" w:hAnsi="Times New Roman"/>
          <w:b/>
          <w:color w:val="000000"/>
          <w:sz w:val="20"/>
        </w:rPr>
        <w:t xml:space="preserve">Income tax expense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major components of income tax expense for the years ended December 31, 2023, 2024 and 2025 are as follows: </w:t>
      </w:r>
    </w:p>
    <w:p>
      <w:pPr>
        <w:pStyle w:val="TextBody"/>
        <w:bidi w:val="0"/>
        <w:jc w:val="left"/>
        <w:rPr/>
      </w:pPr>
      <w:r>
        <w:rPr/>
        <w:t> </w:t>
      </w:r>
    </w:p>
    <w:tbl>
      <w:tblPr>
        <w:tblW w:w="9111" w:type="dxa"/>
        <w:jc w:val="left"/>
        <w:tblInd w:w="0" w:type="dxa"/>
        <w:tblLayout w:type="fixed"/>
        <w:tblCellMar>
          <w:top w:w="28" w:type="dxa"/>
          <w:left w:w="28" w:type="dxa"/>
          <w:bottom w:w="28" w:type="dxa"/>
          <w:right w:w="28" w:type="dxa"/>
        </w:tblCellMar>
      </w:tblPr>
      <w:tblGrid>
        <w:gridCol w:w="4141"/>
        <w:gridCol w:w="146"/>
        <w:gridCol w:w="146"/>
        <w:gridCol w:w="781"/>
        <w:gridCol w:w="166"/>
        <w:gridCol w:w="146"/>
        <w:gridCol w:w="146"/>
        <w:gridCol w:w="781"/>
        <w:gridCol w:w="146"/>
        <w:gridCol w:w="146"/>
        <w:gridCol w:w="146"/>
        <w:gridCol w:w="781"/>
        <w:gridCol w:w="166"/>
        <w:gridCol w:w="146"/>
        <w:gridCol w:w="162"/>
        <w:gridCol w:w="754"/>
        <w:gridCol w:w="21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Under provision in respect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Movement in temporary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Under/(over) provision in respect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Consolidated income tax expense reported in the </w:t>
              <w:br/>
              <w:t>   statement of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reconciliation between tax expense and the product of accounting profit multiplied by the PRC income tax rate of 15% (being tax rate of Yuchai) for the years ended December 31, 2023, 2024 and 2025 for the following reasons: </w:t>
      </w:r>
    </w:p>
    <w:p>
      <w:pPr>
        <w:pStyle w:val="TextBody"/>
        <w:bidi w:val="0"/>
        <w:jc w:val="left"/>
        <w:rPr/>
      </w:pPr>
      <w:r>
        <w:rPr/>
        <w:t> </w:t>
      </w:r>
    </w:p>
    <w:tbl>
      <w:tblPr>
        <w:tblW w:w="9607" w:type="dxa"/>
        <w:jc w:val="left"/>
        <w:tblInd w:w="0" w:type="dxa"/>
        <w:tblLayout w:type="fixed"/>
        <w:tblCellMar>
          <w:top w:w="28" w:type="dxa"/>
          <w:left w:w="28" w:type="dxa"/>
          <w:bottom w:w="28" w:type="dxa"/>
          <w:right w:w="28" w:type="dxa"/>
        </w:tblCellMar>
      </w:tblPr>
      <w:tblGrid>
        <w:gridCol w:w="4396"/>
        <w:gridCol w:w="146"/>
        <w:gridCol w:w="146"/>
        <w:gridCol w:w="781"/>
        <w:gridCol w:w="166"/>
        <w:gridCol w:w="146"/>
        <w:gridCol w:w="146"/>
        <w:gridCol w:w="841"/>
        <w:gridCol w:w="166"/>
        <w:gridCol w:w="146"/>
        <w:gridCol w:w="146"/>
        <w:gridCol w:w="931"/>
        <w:gridCol w:w="166"/>
        <w:gridCol w:w="146"/>
        <w:gridCol w:w="146"/>
        <w:gridCol w:w="781"/>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at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Tax-exempt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Utilization of deferred tax benefits previously not </w:t>
              <w:br/>
              <w: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Recognition of deferred tax benefits not previously </w:t>
              <w:br/>
              <w:t>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 off deferred tax benefits previously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benefits not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 for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 provision in respect of previous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Withholding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Income tax expense (cont’d)</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Global minimum top-up tax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has applied a mandatory temporary relief from deferred tax accounting for the impact of the top-up tax and accounts for it as a current tax when it is incurred. The Group does not expect Pillar Two top up exposure arising from its operations for the year ended December 31, 2025. </w:t>
      </w:r>
    </w:p>
    <w:p>
      <w:pPr>
        <w:pStyle w:val="TextBody"/>
        <w:bidi w:val="0"/>
        <w:spacing w:before="240" w:after="283"/>
        <w:jc w:val="both"/>
        <w:rPr>
          <w:rFonts w:ascii="Times New Roman" w:hAnsi="Times New Roman"/>
          <w:sz w:val="20"/>
        </w:rPr>
      </w:pPr>
      <w:r>
        <w:rPr>
          <w:rFonts w:ascii="Times New Roman" w:hAnsi="Times New Roman"/>
          <w:b/>
          <w:color w:val="000000"/>
          <w:sz w:val="20"/>
        </w:rPr>
        <w:t>Deferred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relates to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2"/>
        <w:gridCol w:w="146"/>
        <w:gridCol w:w="159"/>
        <w:gridCol w:w="757"/>
        <w:gridCol w:w="169"/>
        <w:gridCol w:w="148"/>
        <w:gridCol w:w="159"/>
        <w:gridCol w:w="757"/>
        <w:gridCol w:w="169"/>
        <w:gridCol w:w="148"/>
        <w:gridCol w:w="165"/>
        <w:gridCol w:w="751"/>
        <w:gridCol w:w="166"/>
        <w:gridCol w:w="146"/>
        <w:gridCol w:w="165"/>
        <w:gridCol w:w="751"/>
        <w:gridCol w:w="166"/>
        <w:gridCol w:w="146"/>
        <w:gridCol w:w="149"/>
        <w:gridCol w:w="767"/>
        <w:gridCol w:w="166"/>
        <w:gridCol w:w="146"/>
        <w:gridCol w:w="149"/>
        <w:gridCol w:w="767"/>
        <w:gridCol w:w="166"/>
        <w:gridCol w:w="146"/>
        <w:gridCol w:w="165"/>
        <w:gridCol w:w="751"/>
        <w:gridCol w:w="213"/>
      </w:tblGrid>
      <w:tr>
        <w:trPr/>
        <w:tc>
          <w:tcPr>
            <w:tcW w:w="1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 statement of financial position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 statement of profit or loss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31.12.2025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US$’000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US$’000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plant and equipments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(33,384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(62,820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PRC withholding tax on dividend</w:t>
              <w:br/>
              <w:t xml:space="preserve">    income </w:t>
            </w:r>
            <w:r>
              <w:rPr>
                <w:rFonts w:ascii="Times New Roman" w:hAnsi="Times New Roman"/>
                <w:color w:val="000000"/>
                <w:sz w:val="11"/>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(64,717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(78,813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38,632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Impairment losses on trade</w:t>
              <w:br/>
              <w: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32,540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61,456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166,623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128,762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126,107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72,737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Losses available for offsetting </w:t>
              <w:br/>
              <w:t>   against future taxable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79,871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108,897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(15,476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345,672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258,356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Reflected in the consolidated </w:t>
              <w:br/>
              <w:t xml:space="preserve">   statement of financial position </w:t>
              <w:br/>
              <w:t>   as follows: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410,728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337,370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(65,056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(79,014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345,672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258,356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movement of PRC withholding tax on dividend income is as follows: </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786"/>
        <w:gridCol w:w="146"/>
        <w:gridCol w:w="151"/>
        <w:gridCol w:w="765"/>
        <w:gridCol w:w="166"/>
        <w:gridCol w:w="146"/>
        <w:gridCol w:w="151"/>
        <w:gridCol w:w="765"/>
        <w:gridCol w:w="166"/>
        <w:gridCol w:w="146"/>
        <w:gridCol w:w="151"/>
        <w:gridCol w:w="765"/>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made to consolidated statement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Income tax expense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Deferred tax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Corporate Income Tax (“CIT”) law provides for a tax of 10% to be withheld from dividends paid to foreign investors of PRC enterprises. This withholding tax provision does not apply to dividends paid out of profit earned prior to January 1, 2008. Beginning on January 1, 2008, a 10% withholding tax is imposed on dividends paid to the Company, as a non-resident enterprise, unless an applicable tax treaty provides for a lower tax rate. The Company recognizes a deferred tax liability for withholding tax payable for profits accumulated after December 31, 2007 for the earnings that the Company does not plan to indefinitely reinvest in the PRC enterprises. As of December 31, 2025, the deferred tax liability for withholding tax payable was RMB 78.8 million (US$11.4 million) (2024: RMB 64.7 million). The amount of unrecognized deferred tax liability relating to undistributed earnings of the PRC enterprises is estimated to be RMB 187.8 million (US$27.1 million) (2024: RMB 227.2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Deferred tax assets have not been recognized in respect of the following items: </w:t>
      </w:r>
    </w:p>
    <w:p>
      <w:pPr>
        <w:pStyle w:val="TextBody"/>
        <w:bidi w:val="0"/>
        <w:jc w:val="left"/>
        <w:rPr/>
      </w:pPr>
      <w:r>
        <w:rPr/>
        <w:t> </w:t>
      </w:r>
    </w:p>
    <w:tbl>
      <w:tblPr>
        <w:tblW w:w="8773" w:type="dxa"/>
        <w:jc w:val="left"/>
        <w:tblInd w:w="0" w:type="dxa"/>
        <w:tblLayout w:type="fixed"/>
        <w:tblCellMar>
          <w:top w:w="28" w:type="dxa"/>
          <w:left w:w="28" w:type="dxa"/>
          <w:bottom w:w="28" w:type="dxa"/>
          <w:right w:w="28" w:type="dxa"/>
        </w:tblCellMar>
      </w:tblPr>
      <w:tblGrid>
        <w:gridCol w:w="4771"/>
        <w:gridCol w:w="146"/>
        <w:gridCol w:w="146"/>
        <w:gridCol w:w="931"/>
        <w:gridCol w:w="146"/>
        <w:gridCol w:w="146"/>
        <w:gridCol w:w="146"/>
        <w:gridCol w:w="931"/>
        <w:gridCol w:w="146"/>
        <w:gridCol w:w="146"/>
        <w:gridCol w:w="146"/>
        <w:gridCol w:w="781"/>
        <w:gridCol w:w="1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Unutilized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Unutilized capital allowances and investment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unrecognized temporary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Unrecognized tax losses for the Group are subject to agreement with the tax authorities and compliance with tax regulations in the respective countries in which the Group operates. The unutilized tax losses for PRC subsidiaries and Malaysia subsidiaries expire within the next 5 to 10 years and 10 years, respectively. These losses may not be used to offset taxable income elsewhere in the Group. Deferred tax assets have not been recognized in respect of these items because it is not probable that future taxable profits will be available against which the Group can utilize the benefits.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Earnings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earnings per share is calculated by dividing the profit for the year attributable to equity holders of the Company by the weighted average number of ordinary shares outstanding during the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Diluted earnings per share is calculated by dividing the profit attributable to equity holders of the Company by the weighted average number of ordinary shares outstanding during the year plus the weighted average number of ordinary shares that would be issued on conversion of all the dilutive potential ordinary shares into ordinary shares. </w:t>
      </w:r>
    </w:p>
    <w:p>
      <w:pPr>
        <w:pStyle w:val="TextBody"/>
        <w:bidi w:val="0"/>
        <w:spacing w:before="240" w:after="283"/>
        <w:jc w:val="both"/>
        <w:rPr>
          <w:rFonts w:ascii="Times New Roman" w:hAnsi="Times New Roman"/>
          <w:sz w:val="20"/>
        </w:rPr>
      </w:pPr>
      <w:r>
        <w:rPr>
          <w:rFonts w:ascii="Times New Roman" w:hAnsi="Times New Roman"/>
          <w:b/>
          <w:i/>
          <w:color w:val="000000"/>
          <w:sz w:val="20"/>
        </w:rPr>
        <w:t>Basic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calculation of basic earnings per share is based on: </w:t>
      </w:r>
    </w:p>
    <w:tbl>
      <w:tblPr>
        <w:tblW w:w="9827" w:type="dxa"/>
        <w:jc w:val="left"/>
        <w:tblInd w:w="0" w:type="dxa"/>
        <w:tblLayout w:type="fixed"/>
        <w:tblCellMar>
          <w:top w:w="28" w:type="dxa"/>
          <w:left w:w="28" w:type="dxa"/>
          <w:bottom w:w="28" w:type="dxa"/>
          <w:right w:w="28" w:type="dxa"/>
        </w:tblCellMar>
      </w:tblPr>
      <w:tblGrid>
        <w:gridCol w:w="388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Profit attributable to equity holders of the </w:t>
              <w:br/>
              <w: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39,325,763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37,518,322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Diluted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weighted average number of ordinary shares adjusted for the effect of unissued ordinary shares under the equity incentive plan of the Company is determined as follows: </w:t>
      </w:r>
    </w:p>
    <w:tbl>
      <w:tblPr>
        <w:tblW w:w="9043" w:type="dxa"/>
        <w:jc w:val="left"/>
        <w:tblInd w:w="0" w:type="dxa"/>
        <w:tblLayout w:type="fixed"/>
        <w:tblCellMar>
          <w:top w:w="28" w:type="dxa"/>
          <w:left w:w="28" w:type="dxa"/>
          <w:bottom w:w="28" w:type="dxa"/>
          <w:right w:w="28" w:type="dxa"/>
        </w:tblCellMar>
      </w:tblPr>
      <w:tblGrid>
        <w:gridCol w:w="4576"/>
        <w:gridCol w:w="146"/>
        <w:gridCol w:w="146"/>
        <w:gridCol w:w="1036"/>
        <w:gridCol w:w="146"/>
        <w:gridCol w:w="146"/>
        <w:gridCol w:w="146"/>
        <w:gridCol w:w="1036"/>
        <w:gridCol w:w="146"/>
        <w:gridCol w:w="146"/>
        <w:gridCol w:w="146"/>
        <w:gridCol w:w="1036"/>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shares issued, used in the </w:t>
              <w:br/>
              <w:t>   calculation of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effect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number of ordinary shares adjusted </w:t>
              <w:br/>
              <w:t>   for effect of dilution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39,325,763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37,518,322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weighted average number of ordinary shares for 2024 and 2025 takes into account the weighted average effect of changes in treasury shares transactions incurred in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2025, 820,000 (2024: Nil; 2023: 270,000) outstanding share options granted to employees under the Company’s equity incentive plan have not been included in the calculation of diluted earnings per share because they are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Property, plant and equipment </w:t>
      </w:r>
    </w:p>
    <w:p>
      <w:pPr>
        <w:pStyle w:val="TextBody"/>
        <w:bidi w:val="0"/>
        <w:jc w:val="both"/>
        <w:rPr/>
      </w:pPr>
      <w:r>
        <w:rPr/>
        <w:t> </w:t>
      </w:r>
    </w:p>
    <w:tbl>
      <w:tblPr>
        <w:tblW w:w="9473" w:type="dxa"/>
        <w:jc w:val="left"/>
        <w:tblInd w:w="0" w:type="dxa"/>
        <w:tblLayout w:type="fixed"/>
        <w:tblCellMar>
          <w:top w:w="28" w:type="dxa"/>
          <w:left w:w="28" w:type="dxa"/>
          <w:bottom w:w="28" w:type="dxa"/>
          <w:right w:w="28" w:type="dxa"/>
        </w:tblCellMar>
      </w:tblPr>
      <w:tblGrid>
        <w:gridCol w:w="1381"/>
        <w:gridCol w:w="146"/>
        <w:gridCol w:w="150"/>
        <w:gridCol w:w="525"/>
        <w:gridCol w:w="146"/>
        <w:gridCol w:w="146"/>
        <w:gridCol w:w="165"/>
        <w:gridCol w:w="781"/>
        <w:gridCol w:w="151"/>
        <w:gridCol w:w="146"/>
        <w:gridCol w:w="166"/>
        <w:gridCol w:w="720"/>
        <w:gridCol w:w="151"/>
        <w:gridCol w:w="146"/>
        <w:gridCol w:w="146"/>
        <w:gridCol w:w="691"/>
        <w:gridCol w:w="151"/>
        <w:gridCol w:w="146"/>
        <w:gridCol w:w="158"/>
        <w:gridCol w:w="637"/>
        <w:gridCol w:w="151"/>
        <w:gridCol w:w="146"/>
        <w:gridCol w:w="150"/>
        <w:gridCol w:w="526"/>
        <w:gridCol w:w="151"/>
        <w:gridCol w:w="146"/>
        <w:gridCol w:w="146"/>
        <w:gridCol w:w="766"/>
        <w:gridCol w:w="151"/>
        <w:gridCol w:w="2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Freehold</w:t>
              <w:br/>
              <w:t>land</w:t>
              <w:b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Buildings and</w:t>
              <w:br/>
              <w:t>improvements</w:t>
              <w:br/>
              <w:t>RMB’000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in progress</w:t>
              <w:br/>
              <w:t>RMB’000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Plant and</w:t>
              <w:br/>
              <w:t>machinery</w:t>
              <w:br/>
              <w:t>RMB’000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Office</w:t>
              <w:br/>
              <w:t>furniture,</w:t>
              <w:br/>
              <w:t>fittings and</w:t>
              <w:br/>
              <w:t>equipment</w:t>
              <w:br/>
              <w:t>RMB’000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Motor</w:t>
              <w:br/>
              <w:t>and</w:t>
              <w:br/>
              <w:t>transport</w:t>
              <w:br/>
              <w:t>vehicles</w:t>
              <w:br/>
              <w:t>RMB’000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RMB’000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2,568,485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253,735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6,655,861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234,144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9,820,928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315,019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352,829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(264,976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251,609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Write-off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December 31, 2024</w:t>
              <w:br/>
              <w:t>   and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2,580,757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6,918,270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246,666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92,536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10,157,003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514,724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Transfers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Write-off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2,622,089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504,021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7,138,399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260,488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10,632,411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Accumulated</w:t>
              <w:br/>
              <w:t>   depreciation and</w:t>
              <w:br/>
              <w: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1,166,830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4,826,779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192,727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6,267,327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368,070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483,266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December 31, 2024</w:t>
              <w:br/>
              <w:t>   and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1,258,490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5,188,970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207,946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6,738,760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88,399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340,267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449,756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Write-off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1,344,536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5,460,360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65,441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7,107,280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book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1,322,267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1,729,300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3,418,243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1,277,553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489,603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1,678,039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3,525,131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US$’000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242,393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509,206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In 2025, RMB 10.0 million (US$1.4 million) (2024: RMB 19.2 million) were capitalized as development costs and RMB 2.4 million (US$0.4 million) (2024: RMB 1.4 million) were capitalized as capitalized contract cost.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2023, impairment loss of RMB 8.0 million and RMB 36.7 million were charged to the consolidated statement of profit or loss under “Cost of sales” and “Other operating expenses” respectively. In 2024 and 2025, impairment loss of RMB 7.3 million and RMB 2.8 million (US$0.4 million) were charged to the consolidated statement of profit or loss under “Cost of sales” respectively. The impairment loss is charged for the Group’s plant and equipment within the Yuchai segment that were not in 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Investment property </w:t>
      </w:r>
    </w:p>
    <w:p>
      <w:pPr>
        <w:pStyle w:val="TextBody"/>
        <w:bidi w:val="0"/>
        <w:jc w:val="both"/>
        <w:rPr/>
      </w:pPr>
      <w:r>
        <w:rPr/>
        <w:t> </w:t>
      </w:r>
    </w:p>
    <w:tbl>
      <w:tblPr>
        <w:tblW w:w="8965" w:type="dxa"/>
        <w:jc w:val="left"/>
        <w:tblInd w:w="0" w:type="dxa"/>
        <w:tblLayout w:type="fixed"/>
        <w:tblCellMar>
          <w:top w:w="28" w:type="dxa"/>
          <w:left w:w="28" w:type="dxa"/>
          <w:bottom w:w="28" w:type="dxa"/>
          <w:right w:w="28" w:type="dxa"/>
        </w:tblCellMar>
      </w:tblPr>
      <w:tblGrid>
        <w:gridCol w:w="5236"/>
        <w:gridCol w:w="146"/>
        <w:gridCol w:w="162"/>
        <w:gridCol w:w="754"/>
        <w:gridCol w:w="166"/>
        <w:gridCol w:w="146"/>
        <w:gridCol w:w="162"/>
        <w:gridCol w:w="754"/>
        <w:gridCol w:w="166"/>
        <w:gridCol w:w="146"/>
        <w:gridCol w:w="186"/>
        <w:gridCol w:w="730"/>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 from an investment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Direct operating expenses (including repairs and maintenance) </w:t>
              <w:br/>
              <w:t>   arising from the rental generating property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is not restricted on the realizability of its investment property. The Group is in the process of planning to carry out major refurbishment of the entertainment complex for conversion into additional hotel and function rooms. The revised layout is still pending approval from the relevant authority. The entertainment complex is classified as investment property as it is still held to earn rental income and is being leased to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Investment property is carried at cost less accumulated depreciation and accumulated impairment losses. Depreciation is calculated using straight-line method to allocate the depreciable amounts over the estimated useful life of 30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engaged an independent professional qualified valuer to determine the fair value of investment property at the end of each financial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investment property is determined by the market comparison and cost methods. In valuing the investment property, due consideration is given to factors such as location and size of building, building infrastructure, market knowledge and historical comparable transactions to arrive at their opinion of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shows information about fair value measurement of the investment property using significant unobservable inputs (Level 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2532"/>
        <w:gridCol w:w="146"/>
        <w:gridCol w:w="221"/>
        <w:gridCol w:w="2194"/>
        <w:gridCol w:w="146"/>
        <w:gridCol w:w="4279"/>
      </w:tblGrid>
      <w:tr>
        <w:trPr/>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219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79" w:type="dxa"/>
            <w:tcBorders/>
            <w:shd w:fill="FFFFFF" w:val="clear"/>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Inter-relationship between key</w:t>
            </w:r>
          </w:p>
          <w:p>
            <w:pPr>
              <w:pStyle w:val="TableContents"/>
              <w:bidi w:val="0"/>
              <w:jc w:val="center"/>
              <w:rPr>
                <w:rFonts w:ascii="Times New Roman" w:hAnsi="Times New Roman"/>
                <w:b/>
                <w:color w:val="000000"/>
                <w:sz w:val="16"/>
              </w:rPr>
            </w:pPr>
            <w:r>
              <w:rPr>
                <w:rFonts w:ascii="Times New Roman" w:hAnsi="Times New Roman"/>
                <w:b/>
                <w:color w:val="000000"/>
                <w:sz w:val="16"/>
              </w:rPr>
              <w:t>unobservable inputs and fair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value measurement</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comparison and cost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Comparable price:</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-RMB 71 to RMB 593</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(US$10 to US$86) per square foot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estimated fair value increases with higher comparable price</w:t>
            </w:r>
          </w:p>
        </w:tc>
      </w:tr>
      <w:tr>
        <w:trPr/>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comparison and cost method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Comparable price:</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-RMB 102 to RMB 570</w:t>
            </w:r>
          </w:p>
          <w:p>
            <w:pPr>
              <w:pStyle w:val="TableContents"/>
              <w:bidi w:val="0"/>
              <w:spacing w:before="0" w:after="20"/>
              <w:jc w:val="left"/>
              <w:rPr>
                <w:color w:val="000000"/>
              </w:rPr>
            </w:pPr>
            <w:r>
              <w:rPr>
                <w:color w:val="000000"/>
              </w:rPr>
              <w:t> </w:t>
            </w:r>
            <w:r>
              <w:rPr>
                <w:rFonts w:ascii="Times New Roman" w:hAnsi="Times New Roman"/>
                <w:color w:val="000000"/>
                <w:sz w:val="20"/>
              </w:rPr>
              <w:t>per square foot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estimated fair value increases with higher comparable price</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 xml:space="preserve">Intangible assets </w:t>
      </w:r>
    </w:p>
    <w:p>
      <w:pPr>
        <w:pStyle w:val="TextBody"/>
        <w:bidi w:val="0"/>
        <w:jc w:val="left"/>
        <w:rPr/>
      </w:pPr>
      <w:r>
        <w:rPr/>
        <w:t> </w:t>
      </w:r>
    </w:p>
    <w:tbl>
      <w:tblPr>
        <w:tblW w:w="9134" w:type="dxa"/>
        <w:jc w:val="left"/>
        <w:tblInd w:w="0" w:type="dxa"/>
        <w:tblLayout w:type="fixed"/>
        <w:tblCellMar>
          <w:top w:w="28" w:type="dxa"/>
          <w:left w:w="28" w:type="dxa"/>
          <w:bottom w:w="28" w:type="dxa"/>
          <w:right w:w="28" w:type="dxa"/>
        </w:tblCellMar>
      </w:tblPr>
      <w:tblGrid>
        <w:gridCol w:w="2386"/>
        <w:gridCol w:w="146"/>
        <w:gridCol w:w="146"/>
        <w:gridCol w:w="781"/>
        <w:gridCol w:w="146"/>
        <w:gridCol w:w="146"/>
        <w:gridCol w:w="146"/>
        <w:gridCol w:w="931"/>
        <w:gridCol w:w="146"/>
        <w:gridCol w:w="146"/>
        <w:gridCol w:w="155"/>
        <w:gridCol w:w="896"/>
        <w:gridCol w:w="166"/>
        <w:gridCol w:w="146"/>
        <w:gridCol w:w="156"/>
        <w:gridCol w:w="835"/>
        <w:gridCol w:w="146"/>
        <w:gridCol w:w="146"/>
        <w:gridCol w:w="146"/>
        <w:gridCol w:w="931"/>
        <w:gridCol w:w="2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Technology</w:t>
              <w:br/>
              <w:t>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Development</w:t>
              <w:br/>
              <w:t>costs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2,299,341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 and</w:t>
              <w:br/>
              <w: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2,503,612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2,677,894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 and</w:t>
              <w:br/>
              <w: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 and</w:t>
              <w:br/>
              <w: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1,922,854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1,754,119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Goodwill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Goodwill represents the excess of purchase consideration over fair value of net assets of businesses acquired.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Goodwill acquired through business combinations have been allocated to two cash-generating units for impairment testing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manufacturing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Yulin Hotel. Goodwill allocated to Yulin Hotel was fully impaired in 2008. </w:t>
      </w:r>
    </w:p>
    <w:p>
      <w:pPr>
        <w:pStyle w:val="TextBody"/>
        <w:bidi w:val="0"/>
        <w:spacing w:before="240" w:after="283"/>
        <w:jc w:val="both"/>
        <w:rPr>
          <w:rFonts w:ascii="Times New Roman" w:hAnsi="Times New Roman"/>
          <w:sz w:val="20"/>
        </w:rPr>
      </w:pPr>
      <w:r>
        <w:rPr>
          <w:rFonts w:ascii="Times New Roman" w:hAnsi="Times New Roman"/>
          <w:b/>
          <w:color w:val="000000"/>
          <w:sz w:val="20"/>
        </w:rPr>
        <w:t>Carrying amount of goodwill allocated to the cash-generating unit:</w:t>
      </w:r>
      <w:r>
        <w:rPr>
          <w:rFonts w:ascii="Times New Roman" w:hAnsi="Times New Roman"/>
          <w:color w:val="000000"/>
          <w:sz w:val="20"/>
        </w:rPr>
        <w:t xml:space="preserve"> </w:t>
      </w:r>
    </w:p>
    <w:p>
      <w:pPr>
        <w:pStyle w:val="TextBody"/>
        <w:bidi w:val="0"/>
        <w:jc w:val="left"/>
        <w:rPr/>
      </w:pPr>
      <w:r>
        <w:rPr/>
        <w:t> </w:t>
      </w:r>
    </w:p>
    <w:tbl>
      <w:tblPr>
        <w:tblW w:w="6362" w:type="dxa"/>
        <w:jc w:val="left"/>
        <w:tblInd w:w="0" w:type="dxa"/>
        <w:tblLayout w:type="fixed"/>
        <w:tblCellMar>
          <w:top w:w="28" w:type="dxa"/>
          <w:left w:w="28" w:type="dxa"/>
          <w:bottom w:w="28" w:type="dxa"/>
          <w:right w:w="28" w:type="dxa"/>
        </w:tblCellMar>
      </w:tblPr>
      <w:tblGrid>
        <w:gridCol w:w="2671"/>
        <w:gridCol w:w="146"/>
        <w:gridCol w:w="146"/>
        <w:gridCol w:w="781"/>
        <w:gridCol w:w="146"/>
        <w:gridCol w:w="146"/>
        <w:gridCol w:w="146"/>
        <w:gridCol w:w="781"/>
        <w:gridCol w:w="146"/>
        <w:gridCol w:w="146"/>
        <w:gridCol w:w="162"/>
        <w:gridCol w:w="754"/>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Yuchai manufacturing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Yuchai manufacturing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performs its impairment test annually. The recoverable amount was determined based on a value in use calculation using cash flow projections from financial budgets approved by senior management covering a five-year period. The pre-tax discount rate applied to the cash flow projections was 14.2% (2024: 13.2%) and cash flows beyond the five-year period are extrapolated using a 1% growth rate (2024: 1%), a modest long-term growth rate after taking into consideration of industry outlook with management estimation. No impairment was identified for this unit.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Intangible assets (cont’d)</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Goodwill (cont’d)</w:t>
      </w:r>
    </w:p>
    <w:p>
      <w:pPr>
        <w:pStyle w:val="TextBody"/>
        <w:bidi w:val="0"/>
        <w:spacing w:before="120" w:after="283"/>
        <w:jc w:val="both"/>
        <w:rPr>
          <w:rFonts w:ascii="Times New Roman" w:hAnsi="Times New Roman"/>
          <w:sz w:val="20"/>
        </w:rPr>
      </w:pPr>
      <w:r>
        <w:rPr>
          <w:rFonts w:ascii="Times New Roman" w:hAnsi="Times New Roman"/>
          <w:b/>
          <w:color w:val="000000"/>
          <w:sz w:val="20"/>
        </w:rPr>
        <w:t>Key assumptions used for value in use calculations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Key assumptions used in estimation of value in use were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Profit from operation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Discount rate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Profit from operation – Profit from operation is based on management’s estimate with reference to historical performance and future business outlook of Yuchai manufacturing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Discount rate – Discount rate reflects management’s estimate of the risks specific to the cash-generating unit and is estimated based on weighted average cost of capital (“WACC”). The WACC takes into account both debt and equity. The cost of equity is derived from the expected return on investment by the Group’s investors. The cost of debt is based on the interest-bearing borrowings the cash-generating unit is obliged to service. This rate is weighted according to the optimal debt/equity structure arrived on the basis of the capitalization structure of the peer group. </w:t>
      </w:r>
    </w:p>
    <w:p>
      <w:pPr>
        <w:pStyle w:val="TextBody"/>
        <w:bidi w:val="0"/>
        <w:spacing w:before="240" w:after="283"/>
        <w:jc w:val="both"/>
        <w:rPr>
          <w:rFonts w:ascii="Times New Roman" w:hAnsi="Times New Roman"/>
          <w:sz w:val="20"/>
        </w:rPr>
      </w:pPr>
      <w:r>
        <w:rPr>
          <w:rFonts w:ascii="Times New Roman" w:hAnsi="Times New Roman"/>
          <w:b/>
          <w:color w:val="000000"/>
          <w:sz w:val="20"/>
        </w:rPr>
        <w:t>Sensitivity to changes in assumptions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implications of the key assumptions for the recoverable amount are discussed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Profit from operation – A decreased demand can lead to a decline in profit from operation. A decrease in demand by 17.5% (2024: 10.3%) would result in impairment.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Discount rate – A rise in pre-tax discount rate to 20.9% (2024: 19.2%) would result in impairment.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regard to the assessment of value in use of the Yuchai manufacturing business, management believes that no reasonably possible change in any of the above key assumptions would cause the recoverable amount to materially fall below the carrying value of the unit. </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Technology know-how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2023 and 2024, management believed that there was no indicator for impairment. Also, having considered that there was no significant change in the market demand and economic environment which will have a favorable effect to the recoverable amount of the intangible asset, management had concluded that no reversal of impairment was necessary in 2023 and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the Group recognized impairment losses of RMB 47.1 million (US$6.8 million) (2024: Nil) in the income statement under the line item “Cost of sales” on technology know</w:t>
        <w:noBreakHyphen/>
        <w:t>how relating to on</w:t>
        <w:noBreakHyphen/>
        <w:t>road light</w:t>
        <w:noBreakHyphen/>
        <w:t>duty engine due to a decline in market demand.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the development of certain engine platform relating to National VI and Tier 4 and new energy system were completed, and the related development costs amounting to RMB 297.5 million (US$43.0 million) (2024: RMB 117.6 million) were transferred from development costs to technology know-how, and amortization were charged accordingly based on the Group’s policy. </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2024 and 2025, the Group has capitalized development costs of RMB 204.3 million and RMB 174.3 million (US$25.2 million) respectively, mainly for new engines that comply with National VI/VI(b) and Tier 3/4 emission standards. As of December 31, 2025, the total capitalized development costs are RMB 346.2 million (US$50.0 million) (2024: RMB 539.6 million). These development costs relate to on-going development efforts, and accordingly, are not yet available for use, and therefore no amortization charges were recorded.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performs an annual impairment test on the development costs that are not available for use. In 2025, the Group recognized impairment losses of RMB 70.2 million (US$10.1 million) (2024: RMB 31.1 million; 2023: Nil) in the consolidated statement of profit or loss under “Research and development expenses” in respect of development costs of a discontinued research and development projects.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Intangible assets (cont’d)</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Development costs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recoverable amount was determined based on its value in use using the discounted cash flow approach. Cash flows were projected based on historical growth, past experience and management best estimation of future business outlook. In 2025, the Group used 5-8 years (2024: 5-8 years) forecast which were based on the updated financial budgets approved by the senior management with no terminal value. Apart from the discontinued R&amp;D projects, there is no impairment charge in relation to the other on-going R&amp;D developments.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Key assumptions used in estimation of value in use were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Profit from operation – Profit from operation is based on management’s estimate with reference to historical revenue generated, growth rate and estimation of future business outlook. In 2025, Management's view on revenue growth year-on-year from 2026 to 2030 took into consideration of industry outlook and global economy. Management expected a continued growth in new energy products in the market according to industry trends.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Discount rate – Discount rate reflects management’s estimate of the risks specific to the cash-generating unit and is estimated based on weighted average cost of capital (“WACC”). The WACC takes into account both debt and equity. The cost of equity is derived from the expected return on investment by the Group’s investors. The cost of debt is based on the interest-bearing borrowings the cash-generating unit is obliged to service. This rate is weighted according to the optimal debt/equity structure arrived on the basis of the capitalization structure of the peer group. The Group has applied a pre-tax discount rate of 15.2% (2024: 15.0%). </w:t>
      </w:r>
    </w:p>
    <w:p>
      <w:pPr>
        <w:pStyle w:val="TextBody"/>
        <w:bidi w:val="0"/>
        <w:spacing w:before="240" w:after="283"/>
        <w:jc w:val="both"/>
        <w:rPr>
          <w:rFonts w:ascii="Times New Roman" w:hAnsi="Times New Roman"/>
          <w:sz w:val="20"/>
        </w:rPr>
      </w:pPr>
      <w:r>
        <w:rPr>
          <w:rFonts w:ascii="Times New Roman" w:hAnsi="Times New Roman"/>
          <w:b/>
          <w:color w:val="000000"/>
          <w:sz w:val="20"/>
        </w:rPr>
        <w:t>Sensitivity to changes in assumptions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implications of the key assumptions for the recoverable amount are discussed below: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Profit from operation – A decreased demand can lead to a decline in profit from operation. A decrease in demand by 15.5% (2024: 27.5%) would result in impairment.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Discount rate – A rise in pre-tax discount rate to 22.7% (2024: 20.3%) would result in impairment.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regard to the assessment of value in use, management believes that no reasonably possible change in any of the above key assumptions would cause the recoverable amount to materially fall below the carrying value. </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Trademarks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2019, Yuchai entered into a trademark license agreement with GY under which Yuchai was granted the exclusive and perpetual use of the trademarks listed in the trademark license agreement for a one-time usage fee of RMB 169.8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has assessed and concluded that the right granted by the trademark license, according to the terms and conditions of the trademark license agreement, is indefinite.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2024 and 2025, the Group performed an annual impairment review by taking Yuchai as a cash–generating unit. Using the same cash flow projection and assumptions for goodwill impairment test disclosed above, management concluded that no impairment charge is to be recognized in 2024 and 2025.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14.</w:t>
      </w:r>
    </w:p>
    <w:p>
      <w:pPr>
        <w:pStyle w:val="TextBody"/>
        <w:bidi w:val="0"/>
        <w:jc w:val="both"/>
        <w:rPr>
          <w:rFonts w:ascii="Times New Roman" w:hAnsi="Times New Roman"/>
          <w:b/>
          <w:color w:val="000000"/>
          <w:sz w:val="20"/>
        </w:rPr>
      </w:pPr>
      <w:r>
        <w:rPr>
          <w:rFonts w:ascii="Times New Roman" w:hAnsi="Times New Roman"/>
          <w:b/>
          <w:color w:val="000000"/>
          <w:sz w:val="20"/>
        </w:rPr>
        <w:t xml:space="preserve">Inventories </w:t>
      </w:r>
    </w:p>
    <w:p>
      <w:pPr>
        <w:pStyle w:val="TextBody"/>
        <w:bidi w:val="0"/>
        <w:jc w:val="both"/>
        <w:rPr/>
      </w:pPr>
      <w:r>
        <w:rPr/>
        <w:t> </w:t>
      </w:r>
    </w:p>
    <w:tbl>
      <w:tblPr>
        <w:tblW w:w="8758" w:type="dxa"/>
        <w:jc w:val="left"/>
        <w:tblInd w:w="0" w:type="dxa"/>
        <w:tblLayout w:type="fixed"/>
        <w:tblCellMar>
          <w:top w:w="28" w:type="dxa"/>
          <w:left w:w="28" w:type="dxa"/>
          <w:bottom w:w="28" w:type="dxa"/>
          <w:right w:w="28" w:type="dxa"/>
        </w:tblCellMar>
      </w:tblPr>
      <w:tblGrid>
        <w:gridCol w:w="4756"/>
        <w:gridCol w:w="146"/>
        <w:gridCol w:w="146"/>
        <w:gridCol w:w="931"/>
        <w:gridCol w:w="146"/>
        <w:gridCol w:w="146"/>
        <w:gridCol w:w="146"/>
        <w:gridCol w:w="931"/>
        <w:gridCol w:w="146"/>
        <w:gridCol w:w="146"/>
        <w:gridCol w:w="146"/>
        <w:gridCol w:w="781"/>
        <w:gridCol w:w="1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inventories at the lower of cost and net realizable</w:t>
              <w:br/>
              <w: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892" w:type="dxa"/>
        <w:jc w:val="left"/>
        <w:tblInd w:w="0" w:type="dxa"/>
        <w:tblLayout w:type="fixed"/>
        <w:tblCellMar>
          <w:top w:w="28" w:type="dxa"/>
          <w:left w:w="28" w:type="dxa"/>
          <w:bottom w:w="28" w:type="dxa"/>
          <w:right w:w="28" w:type="dxa"/>
        </w:tblCellMar>
      </w:tblPr>
      <w:tblGrid>
        <w:gridCol w:w="3976"/>
        <w:gridCol w:w="146"/>
        <w:gridCol w:w="146"/>
        <w:gridCol w:w="1036"/>
        <w:gridCol w:w="166"/>
        <w:gridCol w:w="146"/>
        <w:gridCol w:w="146"/>
        <w:gridCol w:w="1036"/>
        <w:gridCol w:w="166"/>
        <w:gridCol w:w="146"/>
        <w:gridCol w:w="146"/>
        <w:gridCol w:w="1036"/>
        <w:gridCol w:w="166"/>
        <w:gridCol w:w="146"/>
        <w:gridCol w:w="146"/>
        <w:gridCol w:w="931"/>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Inventories recognized as an expense in cost of </w:t>
              <w:br/>
              <w: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13,444,277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13,685,522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Inclusive of the following charge/(credit):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Inventories written down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Reversal of 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reversal of write-down of inventory was made when the related inventories were sold above their carrying value or consumed for production.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Trade and other receivables</w:t>
      </w:r>
    </w:p>
    <w:p>
      <w:pPr>
        <w:pStyle w:val="TextBody"/>
        <w:bidi w:val="0"/>
        <w:jc w:val="both"/>
        <w:rPr/>
      </w:pPr>
      <w:r>
        <w:rPr/>
        <w:t> </w:t>
      </w:r>
    </w:p>
    <w:tbl>
      <w:tblPr>
        <w:tblW w:w="8683" w:type="dxa"/>
        <w:jc w:val="left"/>
        <w:tblInd w:w="0" w:type="dxa"/>
        <w:tblLayout w:type="fixed"/>
        <w:tblCellMar>
          <w:top w:w="28" w:type="dxa"/>
          <w:left w:w="28" w:type="dxa"/>
          <w:bottom w:w="28" w:type="dxa"/>
          <w:right w:w="28" w:type="dxa"/>
        </w:tblCellMar>
      </w:tblPr>
      <w:tblGrid>
        <w:gridCol w:w="4366"/>
        <w:gridCol w:w="146"/>
        <w:gridCol w:w="146"/>
        <w:gridCol w:w="931"/>
        <w:gridCol w:w="166"/>
        <w:gridCol w:w="146"/>
        <w:gridCol w:w="146"/>
        <w:gridCol w:w="1036"/>
        <w:gridCol w:w="166"/>
        <w:gridCol w:w="146"/>
        <w:gridCol w:w="146"/>
        <w:gridCol w:w="931"/>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trade receivables (Note 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Bills receivable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8,546,448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1,234,536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(Note 33, Note 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1,571,362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joint ventures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Impairment losses – joint venture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associates and joint ventures (non-trade)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Impairment losses – joint venture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related parties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related parties (non-trade)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Sales consideration on disposal of a subsidiary due </w:t>
              <w:br/>
              <w:t>   from the acquirer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Impairment losses –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carried at amortized cost (Note 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recoverable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Advances paid to suppliers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return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Trade and other receivables (cont’d)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bills receivable includes bills received from joint ventures and related parties amounted to RMB 25.8 million (US$3.7 million) (2024: RMB 1.3 million) and RMB 58.5 million (US$8.4 million) (2024: RMB 1.1 million)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no bills receivable was pledged to secure bank facilities (2024: RMB 16.4 million) (Note 27).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Trade receivables are non-interest bearing and are generally on 60 - 90 days’ credit term. They are recognized at their original invoice amounts, net of sales rebates in the financial year.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Non-trade balance due from associates, joint ventures and other related parties are unsecured, interest-free, and repayable on demand.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Movement in the allowance for expected credit losses of trade and other receivables is as follows: </w:t>
      </w:r>
    </w:p>
    <w:p>
      <w:pPr>
        <w:pStyle w:val="TextBody"/>
        <w:bidi w:val="0"/>
        <w:jc w:val="left"/>
        <w:rPr/>
      </w:pPr>
      <w:r>
        <w:rPr/>
        <w:t> </w:t>
      </w:r>
    </w:p>
    <w:tbl>
      <w:tblPr>
        <w:tblW w:w="8392" w:type="dxa"/>
        <w:jc w:val="left"/>
        <w:tblInd w:w="0" w:type="dxa"/>
        <w:tblLayout w:type="fixed"/>
        <w:tblCellMar>
          <w:top w:w="28" w:type="dxa"/>
          <w:left w:w="28" w:type="dxa"/>
          <w:bottom w:w="28" w:type="dxa"/>
          <w:right w:w="28" w:type="dxa"/>
        </w:tblCellMar>
      </w:tblPr>
      <w:tblGrid>
        <w:gridCol w:w="4681"/>
        <w:gridCol w:w="146"/>
        <w:gridCol w:w="146"/>
        <w:gridCol w:w="781"/>
        <w:gridCol w:w="166"/>
        <w:gridCol w:w="146"/>
        <w:gridCol w:w="146"/>
        <w:gridCol w:w="781"/>
        <w:gridCol w:w="146"/>
        <w:gridCol w:w="146"/>
        <w:gridCol w:w="162"/>
        <w:gridCol w:w="754"/>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b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b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b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consolidated statement of profit or loss (under</w:t>
              <w:br/>
              <w:t>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off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and 2025, the Group wrote off trade receivables amounting to RMB 21.5 million and RMB Nil (US$ Nil) respectively, relating to amount due from specific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and 2025, outstanding bills receivable discounted with banks for which the Group retained a recourse obligation totaled RMB 1.0 billion and RMB 764.6 million (US$110.4 million) respectively. All bills receivable discounted have contractual maturities within 12 months at time of discounting.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and 2025, outstanding bills receivable endorsed to suppliers with recourse obligation were RMB 1.4 billion and RMB 2.7 billion (US$390.6 million)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terms and conditions relating to related parties, refer to Note 30.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Cash and bank balances </w:t>
      </w:r>
    </w:p>
    <w:p>
      <w:pPr>
        <w:pStyle w:val="TextBody"/>
        <w:bidi w:val="0"/>
        <w:jc w:val="left"/>
        <w:rPr/>
      </w:pPr>
      <w:r>
        <w:rPr/>
        <w:t> </w:t>
      </w:r>
    </w:p>
    <w:tbl>
      <w:tblPr>
        <w:tblW w:w="7183" w:type="dxa"/>
        <w:jc w:val="left"/>
        <w:tblInd w:w="0" w:type="dxa"/>
        <w:tblLayout w:type="fixed"/>
        <w:tblCellMar>
          <w:top w:w="28" w:type="dxa"/>
          <w:left w:w="28" w:type="dxa"/>
          <w:bottom w:w="28" w:type="dxa"/>
          <w:right w:w="28" w:type="dxa"/>
        </w:tblCellMar>
      </w:tblPr>
      <w:tblGrid>
        <w:gridCol w:w="3031"/>
        <w:gridCol w:w="146"/>
        <w:gridCol w:w="146"/>
        <w:gridCol w:w="931"/>
        <w:gridCol w:w="146"/>
        <w:gridCol w:w="146"/>
        <w:gridCol w:w="146"/>
        <w:gridCol w:w="931"/>
        <w:gridCol w:w="146"/>
        <w:gridCol w:w="146"/>
        <w:gridCol w:w="146"/>
        <w:gridCol w:w="931"/>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Short-term bank deposits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Cash and cash equivalents comprise the following at December 31: </w:t>
      </w:r>
    </w:p>
    <w:p>
      <w:pPr>
        <w:pStyle w:val="TextBody"/>
        <w:bidi w:val="0"/>
        <w:jc w:val="left"/>
        <w:rPr/>
      </w:pPr>
      <w:r>
        <w:rPr/>
        <w:t> </w:t>
      </w:r>
    </w:p>
    <w:tbl>
      <w:tblPr>
        <w:tblW w:w="6523" w:type="dxa"/>
        <w:jc w:val="left"/>
        <w:tblInd w:w="0" w:type="dxa"/>
        <w:tblLayout w:type="fixed"/>
        <w:tblCellMar>
          <w:top w:w="28" w:type="dxa"/>
          <w:left w:w="28" w:type="dxa"/>
          <w:bottom w:w="28" w:type="dxa"/>
          <w:right w:w="28" w:type="dxa"/>
        </w:tblCellMar>
      </w:tblPr>
      <w:tblGrid>
        <w:gridCol w:w="2371"/>
        <w:gridCol w:w="146"/>
        <w:gridCol w:w="146"/>
        <w:gridCol w:w="931"/>
        <w:gridCol w:w="146"/>
        <w:gridCol w:w="146"/>
        <w:gridCol w:w="146"/>
        <w:gridCol w:w="931"/>
        <w:gridCol w:w="146"/>
        <w:gridCol w:w="146"/>
        <w:gridCol w:w="146"/>
        <w:gridCol w:w="93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banks and on hand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Short-term bank deposits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16.</w:t>
      </w:r>
    </w:p>
    <w:p>
      <w:pPr>
        <w:pStyle w:val="TextBody"/>
        <w:bidi w:val="0"/>
        <w:jc w:val="both"/>
        <w:rPr>
          <w:rFonts w:ascii="Times New Roman" w:hAnsi="Times New Roman"/>
          <w:b/>
          <w:color w:val="000000"/>
          <w:sz w:val="20"/>
        </w:rPr>
      </w:pPr>
      <w:r>
        <w:rPr>
          <w:rFonts w:ascii="Times New Roman" w:hAnsi="Times New Roman"/>
          <w:b/>
          <w:color w:val="000000"/>
          <w:sz w:val="20"/>
        </w:rPr>
        <w:t>Cash and bank balances (cont’d)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pPr>
      <w:r>
        <w:rPr>
          <w:rFonts w:ascii="Times New Roman" w:hAnsi="Times New Roman"/>
          <w:color w:val="000000"/>
          <w:sz w:val="20"/>
        </w:rPr>
        <w:t>This short-term bank deposits relate to bank deposits with initial maturities of more than three months and subject to more</w:t>
      </w:r>
      <w:r>
        <w:rPr>
          <w:color w:val="000000"/>
        </w:rPr>
        <w:t xml:space="preserve"> </w:t>
      </w:r>
      <w:r>
        <w:rPr>
          <w:rFonts w:ascii="Times New Roman" w:hAnsi="Times New Roman"/>
          <w:color w:val="000000"/>
          <w:sz w:val="20"/>
        </w:rPr>
        <w:t xml:space="preserve">than insignificant risk of changes in value upon withdrawal before maturity. The interest rate of these bank deposits as of December 31, 2025 for the Group ranged from 1.3% to 4.0% (2024: 2.4% to 5.5%).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pPr>
      <w:r>
        <w:rPr>
          <w:rFonts w:ascii="Times New Roman" w:hAnsi="Times New Roman"/>
          <w:color w:val="000000"/>
          <w:sz w:val="20"/>
        </w:rPr>
        <w:t>This relates to the short-term, highly liquid investments with original maturities of three months or less that are readily convertible to known amounts of cash and which are subject to an insignificant risk of changes in value. The interest rate of the deposits as of December 31, 2025 for the Group ranged from 0.9% to 4.1% (2024: 2.3% to 4.9%).</w:t>
      </w:r>
      <w:r>
        <w:rPr>
          <w:color w:val="000000"/>
        </w:rPr>
        <w:t xml:space="preserve">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at December 31, 2025, there are fixed deposits of RMB 101.4 million (US$14.6 million) held with a related party (2024: RMB 51.1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Group’s restricted cash of RMB 61.0 million (US$8.8 million) was used as collateral by the banks for the issuance of bills to suppliers and RMB 0.5 million (US$0.1 million) was frozen by the court due to lawsuit involving a dispute between Yuchai and supplier.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the Group’s restricted cash of RMB 93.4 million was used as collateral by the banks for the issuance of bills to suppliers, RMB 8.6 million was pledged to secure bank facilities (Note 27) and RMB 18.4 million was deposited in a joint signatory account with the acquirer of Suzhou Reman as retention money which was subsequently released in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and 2025, the Group had RMB 542.5 million and RMB 539.1 million (US$77.9 million) respectively, of undrawn borrowing facilities in respect of which all conditions precedent had been met.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both"/>
        <w:rPr>
          <w:rFonts w:ascii="Times New Roman" w:hAnsi="Times New Roman"/>
          <w:sz w:val="20"/>
        </w:rPr>
      </w:pPr>
      <w:r>
        <w:rPr>
          <w:rFonts w:ascii="Times New Roman" w:hAnsi="Times New Roman"/>
          <w:b/>
          <w:color w:val="000000"/>
          <w:sz w:val="20"/>
        </w:rPr>
        <w:t>Group as a lessee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has lease contracts for land, motor vehicles, office space and staff accommodations used in its operations. These leases are generally with lease term of more than 1 year to 12 years. </w:t>
      </w:r>
    </w:p>
    <w:p>
      <w:pPr>
        <w:pStyle w:val="TextBody"/>
        <w:bidi w:val="0"/>
        <w:spacing w:before="120" w:after="283"/>
        <w:jc w:val="both"/>
        <w:rPr>
          <w:rFonts w:ascii="Times New Roman" w:hAnsi="Times New Roman"/>
          <w:sz w:val="20"/>
        </w:rPr>
      </w:pPr>
      <w:r>
        <w:rPr>
          <w:rFonts w:ascii="Times New Roman" w:hAnsi="Times New Roman"/>
          <w:color w:val="000000"/>
          <w:sz w:val="20"/>
        </w:rPr>
        <w:t>The Group also has certain leases of office space and staff accommodations with lease terms of 12 months or less and leases of low-value assets. The Group has applied the “short-term leases” and “lease of low-value assets” recognition exemptions for these leases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out below are the carrying amounts of right-of-use assets recognized and the movements during the year. </w:t>
      </w:r>
    </w:p>
    <w:p>
      <w:pPr>
        <w:pStyle w:val="TextBody"/>
        <w:bidi w:val="0"/>
        <w:jc w:val="left"/>
        <w:rPr/>
      </w:pPr>
      <w:r>
        <w:rPr/>
        <w:t> </w:t>
      </w:r>
    </w:p>
    <w:tbl>
      <w:tblPr>
        <w:tblW w:w="9699" w:type="dxa"/>
        <w:jc w:val="left"/>
        <w:tblInd w:w="0" w:type="dxa"/>
        <w:tblLayout w:type="fixed"/>
        <w:tblCellMar>
          <w:top w:w="28" w:type="dxa"/>
          <w:left w:w="28" w:type="dxa"/>
          <w:bottom w:w="28" w:type="dxa"/>
          <w:right w:w="28" w:type="dxa"/>
        </w:tblCellMar>
      </w:tblPr>
      <w:tblGrid>
        <w:gridCol w:w="2281"/>
        <w:gridCol w:w="146"/>
        <w:gridCol w:w="146"/>
        <w:gridCol w:w="781"/>
        <w:gridCol w:w="166"/>
        <w:gridCol w:w="211"/>
        <w:gridCol w:w="169"/>
        <w:gridCol w:w="851"/>
        <w:gridCol w:w="166"/>
        <w:gridCol w:w="146"/>
        <w:gridCol w:w="259"/>
        <w:gridCol w:w="671"/>
        <w:gridCol w:w="166"/>
        <w:gridCol w:w="146"/>
        <w:gridCol w:w="165"/>
        <w:gridCol w:w="645"/>
        <w:gridCol w:w="166"/>
        <w:gridCol w:w="146"/>
        <w:gridCol w:w="146"/>
        <w:gridCol w:w="781"/>
        <w:gridCol w:w="166"/>
        <w:gridCol w:w="146"/>
        <w:gridCol w:w="146"/>
        <w:gridCol w:w="676"/>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Leasehold</w:t>
              <w:br/>
              <w:t>land</w:t>
              <w:b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Building and</w:t>
              <w:br/>
              <w:t>office space</w:t>
              <w:b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Office</w:t>
              <w:br/>
              <w:t>furniture,</w:t>
              <w:br/>
              <w:t>fittings and</w:t>
              <w:br/>
              <w:t>equipment</w:t>
              <w:b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Motor</w:t>
              <w:br/>
              <w:t>vehicles</w:t>
              <w:b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 and</w:t>
              <w:br/>
              <w: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Included an amount of RMB 29.0 million (US$4.2 million) prepaid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17.</w:t>
      </w:r>
    </w:p>
    <w:p>
      <w:pPr>
        <w:pStyle w:val="TextBody"/>
        <w:bidi w:val="0"/>
        <w:jc w:val="both"/>
        <w:rPr>
          <w:rFonts w:ascii="Times New Roman" w:hAnsi="Times New Roman"/>
          <w:b/>
          <w:color w:val="000000"/>
          <w:sz w:val="20"/>
        </w:rPr>
      </w:pPr>
      <w:r>
        <w:rPr>
          <w:rFonts w:ascii="Times New Roman" w:hAnsi="Times New Roman"/>
          <w:b/>
          <w:color w:val="000000"/>
          <w:sz w:val="20"/>
        </w:rPr>
        <w:t>Leases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Group as a lessee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out below are the carrying amounts of lease liabilities and the movements during the year: </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2626"/>
        <w:gridCol w:w="146"/>
        <w:gridCol w:w="146"/>
        <w:gridCol w:w="736"/>
        <w:gridCol w:w="166"/>
        <w:gridCol w:w="146"/>
        <w:gridCol w:w="146"/>
        <w:gridCol w:w="736"/>
        <w:gridCol w:w="166"/>
        <w:gridCol w:w="146"/>
        <w:gridCol w:w="146"/>
        <w:gridCol w:w="676"/>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interest (Note 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(Note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(Note 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are the amounts recognized in profit of loss: </w:t>
      </w:r>
    </w:p>
    <w:p>
      <w:pPr>
        <w:pStyle w:val="TextBody"/>
        <w:bidi w:val="0"/>
        <w:jc w:val="left"/>
        <w:rPr/>
      </w:pPr>
      <w:r>
        <w:rPr/>
        <w:t> </w:t>
      </w:r>
    </w:p>
    <w:tbl>
      <w:tblPr>
        <w:tblW w:w="8263" w:type="dxa"/>
        <w:jc w:val="left"/>
        <w:tblInd w:w="0" w:type="dxa"/>
        <w:tblLayout w:type="fixed"/>
        <w:tblCellMar>
          <w:top w:w="28" w:type="dxa"/>
          <w:left w:w="28" w:type="dxa"/>
          <w:bottom w:w="28" w:type="dxa"/>
          <w:right w:w="28" w:type="dxa"/>
        </w:tblCellMar>
      </w:tblPr>
      <w:tblGrid>
        <w:gridCol w:w="4876"/>
        <w:gridCol w:w="146"/>
        <w:gridCol w:w="146"/>
        <w:gridCol w:w="676"/>
        <w:gridCol w:w="146"/>
        <w:gridCol w:w="146"/>
        <w:gridCol w:w="146"/>
        <w:gridCol w:w="676"/>
        <w:gridCol w:w="146"/>
        <w:gridCol w:w="146"/>
        <w:gridCol w:w="146"/>
        <w:gridCol w:w="67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 for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 (Note 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relating to short-term leases and low-value assets</w:t>
              <w:br/>
              <w:t>   (included in selling, general and administrative expenses</w:t>
              <w:br/>
              <w:t>   and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amount recognized in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the Group had total cash outflows for the repayment of leases and acquisition of right-of-use assets of RMB 76.9 million (US$11.1 million) (2024: RMB 63.2 million) and RMB 3.9 million (US$ 0.6 million) (2024: RMB 29.0 million prepayment) respectively. The Group also had non-cash additions to right-of-use assets and lease liabilities of RMB 57.1 million (US$8.3 million) in 2025 (2024: RMB 55.3 million). The future cash outflows relating to leases that have not yet commenced are disclosed in Note 31. </w:t>
      </w:r>
    </w:p>
    <w:p>
      <w:pPr>
        <w:pStyle w:val="TextBody"/>
        <w:bidi w:val="0"/>
        <w:spacing w:before="240" w:after="283"/>
        <w:jc w:val="both"/>
        <w:rPr>
          <w:rFonts w:ascii="Times New Roman" w:hAnsi="Times New Roman"/>
          <w:sz w:val="20"/>
        </w:rPr>
      </w:pPr>
      <w:r>
        <w:rPr>
          <w:rFonts w:ascii="Times New Roman" w:hAnsi="Times New Roman"/>
          <w:b/>
          <w:color w:val="000000"/>
          <w:sz w:val="20"/>
        </w:rPr>
        <w:t>Group as a lessor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has entered into operating leases on some of its assets, including surplus offices and warehouses. These leases have terms between 1 to 20 years. Rental income recognized by the Group during the year is RMB 30.3 million (US$4.4 million) (2024: RMB 30.9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minimum rental receivables under non-cancellable operating leases as of 31 December are as follows: </w:t>
      </w:r>
    </w:p>
    <w:p>
      <w:pPr>
        <w:pStyle w:val="TextBody"/>
        <w:bidi w:val="0"/>
        <w:jc w:val="left"/>
        <w:rPr/>
      </w:pPr>
      <w:r>
        <w:rPr/>
        <w:t> </w:t>
      </w:r>
    </w:p>
    <w:tbl>
      <w:tblPr>
        <w:tblW w:w="6235" w:type="dxa"/>
        <w:jc w:val="left"/>
        <w:tblInd w:w="0" w:type="dxa"/>
        <w:tblLayout w:type="fixed"/>
        <w:tblCellMar>
          <w:top w:w="28" w:type="dxa"/>
          <w:left w:w="28" w:type="dxa"/>
          <w:bottom w:w="28" w:type="dxa"/>
          <w:right w:w="28" w:type="dxa"/>
        </w:tblCellMar>
      </w:tblPr>
      <w:tblGrid>
        <w:gridCol w:w="2566"/>
        <w:gridCol w:w="146"/>
        <w:gridCol w:w="162"/>
        <w:gridCol w:w="754"/>
        <w:gridCol w:w="146"/>
        <w:gridCol w:w="146"/>
        <w:gridCol w:w="162"/>
        <w:gridCol w:w="754"/>
        <w:gridCol w:w="146"/>
        <w:gridCol w:w="146"/>
        <w:gridCol w:w="162"/>
        <w:gridCol w:w="754"/>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 year but within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More than 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18.</w:t>
      </w:r>
    </w:p>
    <w:p>
      <w:pPr>
        <w:pStyle w:val="TextBody"/>
        <w:bidi w:val="0"/>
        <w:jc w:val="both"/>
        <w:rPr>
          <w:rFonts w:ascii="Times New Roman" w:hAnsi="Times New Roman"/>
          <w:b/>
          <w:color w:val="000000"/>
          <w:sz w:val="20"/>
        </w:rPr>
      </w:pPr>
      <w:r>
        <w:rPr>
          <w:rFonts w:ascii="Times New Roman" w:hAnsi="Times New Roman"/>
          <w:b/>
          <w:color w:val="000000"/>
          <w:sz w:val="20"/>
        </w:rPr>
        <w:t xml:space="preserve">Issued capital </w:t>
      </w:r>
    </w:p>
    <w:p>
      <w:pPr>
        <w:pStyle w:val="TextBody"/>
        <w:bidi w:val="0"/>
        <w:jc w:val="both"/>
        <w:rPr/>
      </w:pPr>
      <w:r>
        <w:rPr/>
        <w:t> </w:t>
      </w:r>
    </w:p>
    <w:tbl>
      <w:tblPr>
        <w:tblW w:w="6009" w:type="dxa"/>
        <w:jc w:val="left"/>
        <w:tblInd w:w="0" w:type="dxa"/>
        <w:tblLayout w:type="fixed"/>
        <w:tblCellMar>
          <w:top w:w="28" w:type="dxa"/>
          <w:left w:w="28" w:type="dxa"/>
          <w:bottom w:w="28" w:type="dxa"/>
          <w:right w:w="28" w:type="dxa"/>
        </w:tblCellMar>
      </w:tblPr>
      <w:tblGrid>
        <w:gridCol w:w="3526"/>
        <w:gridCol w:w="146"/>
        <w:gridCol w:w="146"/>
        <w:gridCol w:w="781"/>
        <w:gridCol w:w="146"/>
        <w:gridCol w:w="146"/>
        <w:gridCol w:w="146"/>
        <w:gridCol w:w="78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Issued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Authorized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 of par value US$ 0.10 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169" w:type="dxa"/>
        <w:jc w:val="left"/>
        <w:tblInd w:w="0" w:type="dxa"/>
        <w:tblLayout w:type="fixed"/>
        <w:tblCellMar>
          <w:top w:w="28" w:type="dxa"/>
          <w:left w:w="28" w:type="dxa"/>
          <w:bottom w:w="28" w:type="dxa"/>
          <w:right w:w="28" w:type="dxa"/>
        </w:tblCellMar>
      </w:tblPr>
      <w:tblGrid>
        <w:gridCol w:w="5281"/>
        <w:gridCol w:w="146"/>
        <w:gridCol w:w="146"/>
        <w:gridCol w:w="1036"/>
        <w:gridCol w:w="146"/>
        <w:gridCol w:w="146"/>
        <w:gridCol w:w="146"/>
        <w:gridCol w:w="931"/>
        <w:gridCol w:w="1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Ordinary shares issued and fully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2024, December 31, 2024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890" w:type="dxa"/>
        <w:jc w:val="left"/>
        <w:tblInd w:w="0" w:type="dxa"/>
        <w:tblLayout w:type="fixed"/>
        <w:tblCellMar>
          <w:top w:w="28" w:type="dxa"/>
          <w:left w:w="28" w:type="dxa"/>
          <w:bottom w:w="28" w:type="dxa"/>
          <w:right w:w="28" w:type="dxa"/>
        </w:tblCellMar>
      </w:tblPr>
      <w:tblGrid>
        <w:gridCol w:w="5026"/>
        <w:gridCol w:w="146"/>
        <w:gridCol w:w="458"/>
        <w:gridCol w:w="458"/>
        <w:gridCol w:w="211"/>
        <w:gridCol w:w="146"/>
        <w:gridCol w:w="458"/>
        <w:gridCol w:w="458"/>
        <w:gridCol w:w="211"/>
        <w:gridCol w:w="146"/>
        <w:gridCol w:w="458"/>
        <w:gridCol w:w="458"/>
        <w:gridCol w:w="25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Special share issued and fully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special share issued and fully paid at US$ 0.10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Less than RMB 1 (US$1)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holders of ordinary shares are entitled to such dividends as the Board of Directors of the Company may declare from time to time. All ordinary shares are entitled to one vote on a show of hands and carry one vote per share on a poll.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 of special share is entitled to elect a majority of directors of the Company. In addition, no shareholders’ resolution may be passed without the affirmative vote of the special share, including any resolution to amend the Memorandum of Association or Bye-laws of the Company. The special share is not transferable except to Hong Leong Asia Ltd. (“HLA”), Hong Leong (China) Limited (“HLC”) or any of its affiliates. The Bye-Laws of the Company provides that the special share shall cease to carry any rights in the event that HLA and its affiliates cease to own, directly or indirectly, at least 7,290,000 ordinary shares in the capital of the Company.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Treasury shares</w:t>
      </w:r>
    </w:p>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1426"/>
        <w:gridCol w:w="146"/>
        <w:gridCol w:w="146"/>
        <w:gridCol w:w="781"/>
        <w:gridCol w:w="146"/>
        <w:gridCol w:w="146"/>
        <w:gridCol w:w="146"/>
        <w:gridCol w:w="781"/>
        <w:gridCol w:w="146"/>
        <w:gridCol w:w="146"/>
        <w:gridCol w:w="146"/>
        <w:gridCol w:w="676"/>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2024, the Company purchased 3,339,968 of its ordinary shares by way of open market transactions at prevailing market prices and privately negotiated transactions. The total amount paid to purchase the shares was approximately RMB 285.6 million and this was presented as a component within equity attributable to equity holders of the Company.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20.</w:t>
      </w:r>
    </w:p>
    <w:p>
      <w:pPr>
        <w:pStyle w:val="TextBody"/>
        <w:bidi w:val="0"/>
        <w:jc w:val="both"/>
        <w:rPr>
          <w:rFonts w:ascii="Times New Roman" w:hAnsi="Times New Roman"/>
          <w:b/>
          <w:color w:val="000000"/>
          <w:sz w:val="20"/>
        </w:rPr>
      </w:pPr>
      <w:r>
        <w:rPr>
          <w:rFonts w:ascii="Times New Roman" w:hAnsi="Times New Roman"/>
          <w:b/>
          <w:color w:val="000000"/>
          <w:sz w:val="20"/>
        </w:rPr>
        <w:t xml:space="preserve">Dividends declared and paid </w:t>
      </w:r>
    </w:p>
    <w:p>
      <w:pPr>
        <w:pStyle w:val="TextBody"/>
        <w:bidi w:val="0"/>
        <w:jc w:val="left"/>
        <w:rPr/>
      </w:pPr>
      <w:r>
        <w:rPr/>
        <w:t> </w:t>
      </w:r>
    </w:p>
    <w:tbl>
      <w:tblPr>
        <w:tblW w:w="7757" w:type="dxa"/>
        <w:jc w:val="left"/>
        <w:tblInd w:w="0" w:type="dxa"/>
        <w:tblLayout w:type="fixed"/>
        <w:tblCellMar>
          <w:top w:w="28" w:type="dxa"/>
          <w:left w:w="28" w:type="dxa"/>
          <w:bottom w:w="28" w:type="dxa"/>
          <w:right w:w="28" w:type="dxa"/>
        </w:tblCellMar>
      </w:tblPr>
      <w:tblGrid>
        <w:gridCol w:w="4066"/>
        <w:gridCol w:w="146"/>
        <w:gridCol w:w="146"/>
        <w:gridCol w:w="781"/>
        <w:gridCol w:w="146"/>
        <w:gridCol w:w="146"/>
        <w:gridCol w:w="146"/>
        <w:gridCol w:w="781"/>
        <w:gridCol w:w="146"/>
        <w:gridCol w:w="146"/>
        <w:gridCol w:w="162"/>
        <w:gridCol w:w="754"/>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Declared and paid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on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Final dividend paid in 2025: US$ 0.53 per share </w:t>
              <w:br/>
              <w:t>   (2024: US$ 0.38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21.</w:t>
      </w:r>
    </w:p>
    <w:p>
      <w:pPr>
        <w:pStyle w:val="TextBody"/>
        <w:bidi w:val="0"/>
        <w:jc w:val="both"/>
        <w:rPr>
          <w:rFonts w:ascii="Times New Roman" w:hAnsi="Times New Roman"/>
          <w:b/>
          <w:color w:val="000000"/>
          <w:sz w:val="20"/>
        </w:rPr>
      </w:pPr>
      <w:r>
        <w:rPr>
          <w:rFonts w:ascii="Times New Roman" w:hAnsi="Times New Roman"/>
          <w:b/>
          <w:color w:val="000000"/>
          <w:sz w:val="20"/>
        </w:rPr>
        <w:t xml:space="preserve">Reserves </w:t>
      </w:r>
    </w:p>
    <w:p>
      <w:pPr>
        <w:pStyle w:val="TextBody"/>
        <w:bidi w:val="0"/>
        <w:jc w:val="both"/>
        <w:rPr/>
      </w:pPr>
      <w:r>
        <w:rPr/>
        <w:t> </w:t>
      </w:r>
    </w:p>
    <w:tbl>
      <w:tblPr>
        <w:tblW w:w="8792" w:type="dxa"/>
        <w:jc w:val="left"/>
        <w:tblInd w:w="0" w:type="dxa"/>
        <w:tblLayout w:type="fixed"/>
        <w:tblCellMar>
          <w:top w:w="28" w:type="dxa"/>
          <w:left w:w="28" w:type="dxa"/>
          <w:bottom w:w="28" w:type="dxa"/>
          <w:right w:w="28" w:type="dxa"/>
        </w:tblCellMar>
      </w:tblPr>
      <w:tblGrid>
        <w:gridCol w:w="4981"/>
        <w:gridCol w:w="146"/>
        <w:gridCol w:w="146"/>
        <w:gridCol w:w="781"/>
        <w:gridCol w:w="166"/>
        <w:gridCol w:w="146"/>
        <w:gridCol w:w="146"/>
        <w:gridCol w:w="841"/>
        <w:gridCol w:w="166"/>
        <w:gridCol w:w="146"/>
        <w:gridCol w:w="151"/>
        <w:gridCol w:w="765"/>
        <w:gridCol w:w="21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Statutory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Statutory general reserve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from 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of interest in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a subsidiary to a joint stock limited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surplus reserve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and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Capital reserves</w:t>
            </w:r>
            <w:r>
              <w:rPr>
                <w:rFonts w:ascii="Times New Roman" w:hAnsi="Times New Roman"/>
                <w:color w:val="000000"/>
                <w:sz w:val="20"/>
              </w:rPr>
              <w:t xml:space="preserve"> </w:t>
            </w:r>
            <w:r>
              <w:rPr>
                <w:rFonts w:ascii="Times New Roman" w:hAnsi="Times New Roman"/>
                <w:b/>
                <w:color w:val="000000"/>
                <w:sz w:val="13"/>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a subsidiary to a joint stock limited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non-controlling interest without change in</w:t>
              <w:br/>
              <w:t>    control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accordance with the relevant regulations in the PRC, a 10% appropriation to the statutory general reserve based on the net income reported in the PRC financial statements is required until the balance reaches 50% of the authorized share capital of Yuchai and its subsidiaries. Statutory general reserve can be used to make good previous years’ losses, if any, and may be converted into share capital by the issue of new shares to shareholders in proportion to their existing shareholdings, or by increasing the par value of the shares currently held by them, provided that the reserve balance after such issue is not less than 25% of the authorized share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surplus reserve is appropriated in accordance with Yuchai’s Articles and resolution of the board of directors. General surplus reserve may be used to offset accumulated losses or increase the registered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sz w:val="24"/>
        </w:rPr>
      </w:pPr>
      <w:r>
        <w:rPr>
          <w:rFonts w:ascii="Times New Roman" w:hAnsi="Times New Roman"/>
          <w:color w:val="000000"/>
          <w:sz w:val="20"/>
        </w:rPr>
        <w:t>Capital reserves consist of reserve resulted from (i) a capital transaction in 2015, (ii) the put option granted to the non-controlling interests of Yuchai’s subsidiary in 2022 and 2023 (further details are given in Note 29) and (iii) conversion of a subsidiary into a joint stock limited company represents the excess of net assets over the registered capital of the joint stock limited company as at date of conversion. Upon conversion, equity components under the previous limited liability company were converted into registered capital and capital reserve of the new joint stock limited company.</w:t>
      </w:r>
      <w:r>
        <w:rPr>
          <w:rFonts w:ascii="Times New Roman" w:hAnsi="Times New Roman"/>
          <w:color w:val="000000"/>
          <w:sz w:val="24"/>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Reserves (cont’d)</w:t>
      </w:r>
    </w:p>
    <w:p>
      <w:pPr>
        <w:pStyle w:val="TextBody"/>
        <w:bidi w:val="0"/>
        <w:jc w:val="left"/>
        <w:rPr/>
      </w:pPr>
      <w:r>
        <w:rPr/>
        <w:t> </w:t>
      </w:r>
    </w:p>
    <w:tbl>
      <w:tblPr>
        <w:tblW w:w="8470" w:type="dxa"/>
        <w:jc w:val="left"/>
        <w:tblInd w:w="0" w:type="dxa"/>
        <w:tblLayout w:type="fixed"/>
        <w:tblCellMar>
          <w:top w:w="28" w:type="dxa"/>
          <w:left w:w="28" w:type="dxa"/>
          <w:bottom w:w="28" w:type="dxa"/>
          <w:right w:w="28" w:type="dxa"/>
        </w:tblCellMar>
      </w:tblPr>
      <w:tblGrid>
        <w:gridCol w:w="4741"/>
        <w:gridCol w:w="146"/>
        <w:gridCol w:w="151"/>
        <w:gridCol w:w="765"/>
        <w:gridCol w:w="166"/>
        <w:gridCol w:w="146"/>
        <w:gridCol w:w="151"/>
        <w:gridCol w:w="765"/>
        <w:gridCol w:w="166"/>
        <w:gridCol w:w="146"/>
        <w:gridCol w:w="172"/>
        <w:gridCol w:w="744"/>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Other components of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currency translation reserve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Performance shares reserve </w:t>
            </w:r>
            <w:r>
              <w:rPr>
                <w:rFonts w:ascii="Times New Roman" w:hAnsi="Times New Roman"/>
                <w:color w:val="000000"/>
                <w:sz w:val="13"/>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Premium paid for acquisition of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Fair value reserve of financial assets at FVOCI </w:t>
            </w:r>
            <w:r>
              <w:rPr>
                <w:rFonts w:ascii="Times New Roman" w:hAnsi="Times New Roman"/>
                <w:color w:val="000000"/>
                <w:sz w:val="13"/>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translation reserve represents exchange differences arising from the translation of the financial statements of foreign operations whose functional currencies are different from that of the Group’s presentation currency.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Performance shares reserve comprises the cumulative value of employee services received in return for share-based compensation. The amount in the reserve is retained when the option is expired.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reserve of financial assets at FVOCI relates to the subsequent measurement of the Group’s bills receivable at fair value through OCI.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Share-based payment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By the Company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China Yuchai International Limited 2014 Equity Incentive Plan (the “2014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2014 Equity Incentive Plan was approved by the Board of Directors of the Company on May 10, 2014 for a duration of 10 years. The share options granted under the 2014 Equity Incentive Plan expired in July 2024. In 2023 and 2024, there was no share-based payment expense arising from the 2014 Equity Incentive Plan.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China Yuchai International Limited 2025 Equity Incentive Plan (the “2025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2025 Equity Incentive Plan was approved by the Board of Directors of the Company on May 16, 2025 for a duration of 10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options granted under the 2025 Equity Incentive Plan are subject to a vesting schedule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one year after the date of grant for up to 33% of the shares over which the options are exercisable;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two years after the date of grant for up to 66% (including (1) above) of the shares over which the options are exercisable;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three years after the date of grant for up to 100% (including (1) and (2) above) of the shares over which the options are exercisable.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Share-based payment (cont’d)</w:t>
      </w:r>
    </w:p>
    <w:p>
      <w:pPr>
        <w:pStyle w:val="TextBody"/>
        <w:bidi w:val="0"/>
        <w:spacing w:before="120" w:after="283"/>
        <w:jc w:val="both"/>
        <w:rPr>
          <w:rFonts w:ascii="Times New Roman" w:hAnsi="Times New Roman"/>
          <w:sz w:val="20"/>
        </w:rPr>
      </w:pPr>
      <w:r>
        <w:rPr>
          <w:rFonts w:ascii="Times New Roman" w:hAnsi="Times New Roman"/>
          <w:b/>
          <w:i/>
          <w:color w:val="000000"/>
          <w:sz w:val="20"/>
        </w:rPr>
        <w:t>Movements during the year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illustrates the number and exercise prices of, and movements in share options during the year: </w:t>
      </w:r>
    </w:p>
    <w:p>
      <w:pPr>
        <w:pStyle w:val="TextBody"/>
        <w:bidi w:val="0"/>
        <w:jc w:val="left"/>
        <w:rPr/>
      </w:pPr>
      <w:r>
        <w:rPr/>
        <w:t> </w:t>
      </w:r>
    </w:p>
    <w:tbl>
      <w:tblPr>
        <w:tblW w:w="9339" w:type="dxa"/>
        <w:jc w:val="left"/>
        <w:tblInd w:w="0" w:type="dxa"/>
        <w:tblLayout w:type="fixed"/>
        <w:tblCellMar>
          <w:top w:w="28" w:type="dxa"/>
          <w:left w:w="28" w:type="dxa"/>
          <w:bottom w:w="28" w:type="dxa"/>
          <w:right w:w="28" w:type="dxa"/>
        </w:tblCellMar>
      </w:tblPr>
      <w:tblGrid>
        <w:gridCol w:w="841"/>
        <w:gridCol w:w="156"/>
        <w:gridCol w:w="550"/>
        <w:gridCol w:w="146"/>
        <w:gridCol w:w="285"/>
        <w:gridCol w:w="676"/>
        <w:gridCol w:w="146"/>
        <w:gridCol w:w="146"/>
        <w:gridCol w:w="691"/>
        <w:gridCol w:w="146"/>
        <w:gridCol w:w="146"/>
        <w:gridCol w:w="664"/>
        <w:gridCol w:w="166"/>
        <w:gridCol w:w="190"/>
        <w:gridCol w:w="905"/>
        <w:gridCol w:w="146"/>
        <w:gridCol w:w="267"/>
        <w:gridCol w:w="634"/>
        <w:gridCol w:w="146"/>
        <w:gridCol w:w="324"/>
        <w:gridCol w:w="771"/>
        <w:gridCol w:w="146"/>
        <w:gridCol w:w="1051"/>
      </w:tblGrid>
      <w:tr>
        <w:trPr/>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cancelled/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Date</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lapsed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during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Exercise</w:t>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grant</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period</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9/8/2025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7"/>
              </w:rPr>
              <w:t>9/8/2026</w:t>
            </w:r>
            <w:r>
              <w:rPr>
                <w:rFonts w:ascii="Times New Roman" w:hAnsi="Times New Roman"/>
                <w:color w:val="000000"/>
                <w:sz w:val="20"/>
              </w:rPr>
              <w:t> </w:t>
            </w:r>
            <w:r>
              <w:rPr>
                <w:rFonts w:ascii="Times New Roman" w:hAnsi="Times New Roman"/>
                <w:color w:val="000000"/>
                <w:sz w:val="17"/>
              </w:rPr>
              <w:t>to</w:t>
              <w:br/>
              <w:t>   8/8/2035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2/12/2025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7"/>
              </w:rPr>
              <w:t>2/12/2026</w:t>
            </w:r>
            <w:r>
              <w:rPr>
                <w:rFonts w:ascii="Times New Roman" w:hAnsi="Times New Roman"/>
                <w:color w:val="000000"/>
                <w:sz w:val="20"/>
              </w:rPr>
              <w:t> </w:t>
            </w:r>
            <w:r>
              <w:rPr>
                <w:rFonts w:ascii="Times New Roman" w:hAnsi="Times New Roman"/>
                <w:color w:val="000000"/>
                <w:sz w:val="17"/>
              </w:rPr>
              <w:t>to</w:t>
              <w:br/>
              <w:t>   1/12/2035</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services received in return for share options granted are measured by reference to the fair value of share options granted. The estimate of the fair value of the services received is measured based on the Black-Scholes model. The expected life used in the model has been adjusted, based on management’s best estimate, for the effects of non-transferability, exercise restrictions and behavioral considerations.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Fair value of share options and assumptions</w:t>
      </w:r>
      <w:r>
        <w:rPr>
          <w:rFonts w:ascii="Times New Roman" w:hAnsi="Times New Roman"/>
          <w:color w:val="000000"/>
          <w:sz w:val="20"/>
        </w:rPr>
        <w:t xml:space="preserve"> </w:t>
      </w:r>
    </w:p>
    <w:p>
      <w:pPr>
        <w:pStyle w:val="TextBody"/>
        <w:bidi w:val="0"/>
        <w:jc w:val="left"/>
        <w:rPr/>
      </w:pPr>
      <w:r>
        <w:rPr/>
        <w:t> </w:t>
      </w:r>
    </w:p>
    <w:tbl>
      <w:tblPr>
        <w:tblW w:w="6625" w:type="dxa"/>
        <w:jc w:val="left"/>
        <w:tblInd w:w="0" w:type="dxa"/>
        <w:tblLayout w:type="fixed"/>
        <w:tblCellMar>
          <w:top w:w="28" w:type="dxa"/>
          <w:left w:w="28" w:type="dxa"/>
          <w:bottom w:w="28" w:type="dxa"/>
          <w:right w:w="28" w:type="dxa"/>
        </w:tblCellMar>
      </w:tblPr>
      <w:tblGrid>
        <w:gridCol w:w="3136"/>
        <w:gridCol w:w="146"/>
        <w:gridCol w:w="1471"/>
        <w:gridCol w:w="146"/>
        <w:gridCol w:w="172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of grant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August 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December 2, 2025</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at measurement date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11.91 - 12.65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13.91 - 15.02</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35.36</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35.36</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46.20 - 52.77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48.24 - 55.12</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5.5</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1.68 - 1.79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1.39 - 1.47</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3.45 - 3.52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3.33 - 3.42</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exercise price for the share options outstanding as of December 31, 2025 was US$26.03 dollar for first grant and US$35.36 dollar for the second grant.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weighted average remaining contractual life for the share options outstanding as of December 31, 2025 was 9.7 years.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reflects the assumption that the historical volatility over a period similar to the life of the options is indicative of future trends, which may not necessarily be the actual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no market conditions associated with the share options granted. Service conditions and non-market performance conditions are not taken into account in the measurement of the fair value of the service to be received at the grant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Share-based payment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By the Subsidiaries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Guangxi Yuchai Machinery Company Limited Equity Holding Scheme (the “Yuchai Equity Scheme”) and Guangxi Yuchai Marine and Genset Power Co., Ltd Incentive Scheme (the “MGP Incentive Scheme”) (collectively, the “Two Schemes”)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Two Schemes was approved by the shareholders of Yuchai on June 20, 2024. Yuchai Equity Scheme is administrated by Yuchai’s Remuneration Committee (“Yuchai RC”), and MGP Incentive Scheme is administrated by the MGP’s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salient terms of the Two Schemes are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pPr>
      <w:r>
        <w:rPr>
          <w:rFonts w:ascii="Times New Roman" w:hAnsi="Times New Roman"/>
          <w:color w:val="000000"/>
          <w:sz w:val="20"/>
        </w:rPr>
        <w:t>participants of the Two Schemes were awarded interests in MGP on June 26, 2024 such that the registered capital of MGP was increased by an aggregate amount of RMB 28.0</w:t>
      </w:r>
      <w:r>
        <w:rPr>
          <w:color w:val="000000"/>
        </w:rPr>
        <w:t xml:space="preserve"> </w:t>
      </w:r>
      <w:r>
        <w:rPr>
          <w:rFonts w:ascii="Times New Roman" w:hAnsi="Times New Roman"/>
          <w:color w:val="000000"/>
          <w:sz w:val="20"/>
        </w:rPr>
        <w:t>million which corresponded to approximately 6.54% interest in the enlarged registered capital of MGP (the “MGP Interest”) and participants of the Two Schemes contributed an aggregate amount of RMB 82.9</w:t>
      </w:r>
      <w:r>
        <w:rPr>
          <w:color w:val="000000"/>
        </w:rPr>
        <w:t xml:space="preserve"> </w:t>
      </w:r>
      <w:r>
        <w:rPr>
          <w:rFonts w:ascii="Times New Roman" w:hAnsi="Times New Roman"/>
          <w:color w:val="000000"/>
          <w:sz w:val="20"/>
        </w:rPr>
        <w:t>million at the price of RMB 2.96</w:t>
      </w:r>
      <w:r>
        <w:rPr>
          <w:color w:val="000000"/>
        </w:rPr>
        <w:t xml:space="preserve"> </w:t>
      </w:r>
      <w:r>
        <w:rPr>
          <w:rFonts w:ascii="Times New Roman" w:hAnsi="Times New Roman"/>
          <w:color w:val="000000"/>
          <w:sz w:val="20"/>
        </w:rPr>
        <w:t>per RMB 1.00</w:t>
      </w:r>
      <w:r>
        <w:rPr>
          <w:color w:val="000000"/>
        </w:rPr>
        <w:t xml:space="preserve"> </w:t>
      </w:r>
      <w:r>
        <w:rPr>
          <w:rFonts w:ascii="Times New Roman" w:hAnsi="Times New Roman"/>
          <w:color w:val="000000"/>
          <w:sz w:val="20"/>
        </w:rPr>
        <w:t>registered capital in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subscription price was based on the fair value of the net assets of MGP and its subsidiaries as at December 31, 2022 and was arrived at after taking into consideration, among other things, the rationale for the Two Schemes and the valuation of MGP factoring in the restrictions placed on the MGP Interest;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participants of the Two Schemes are employees within the Yuchai group of entities.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MGP Interest is held by separate partnership vehicles established by the participants of the Two Schemes (“MGP Partnership Interest”). Although all partners in each of the partnership vehicles including Yuchai have the right (but not the obligation) to buy the MGP Partnership Interests in that partnership vehicle under a special scenario, should Yuchai buy any MGP Partnership Interests in any partnership vehicle, it has to transfer to newly identified employees approved by the Yuchai RC (as regards to the Yuchai Equity Scheme) or the MGP’s Board of Directors(as regards to the MGP Incentive Scheme) within six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partnership vehicles which hold the MGP Interest include (a) a lock-up period commencing on the date of issuance of the MGP Interest and a moratorium period ending (ai) in the event that MGP undertakes a public listing, three years after such listing; or (aii) in the event that MGP does not undertake a public listing, ten years; (b) the partnership vehicles are to vote on all matters proposed at shareholders’ meetings of MGP in the same manner as Yuchai; (c) transfer/sale/mortgage/gift restrictions on MGP Partnership Interests; (d) save for five key employees who are also the general partners of the partnership vehicles may continue to hold their MGP Partnership Interests upon retirement, MGP Partnership Interests must be transferred in accordance with the agreed terms and to approved person under certain special scenarios including death, termination/resignation/divorce and dismissal;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partnership vehicles have the right to distributions declared and made by MGP upon the issuance of the MGP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awards of the MGP Interest, the Group’s effective equity interest in MGP decreased from 76.4% to 71.4% as at December 31,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Yuchai’s interest in MGP increased by 0.55% following the acquisition of MGP Partnership Interest from a participant who withdrew from the Yuchai Equity Scheme (Note 4). As a result, the Group's effective interest in MGP increased from 71.4% to 71.8% as at December 31, 2025. The ownership of the acquired MGP Partnership Interest is subject to the terms of the Yuchai Equity Scheme.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22.</w:t>
      </w:r>
    </w:p>
    <w:p>
      <w:pPr>
        <w:pStyle w:val="TextBody"/>
        <w:bidi w:val="0"/>
        <w:jc w:val="both"/>
        <w:rPr>
          <w:rFonts w:ascii="Times New Roman" w:hAnsi="Times New Roman"/>
          <w:b/>
          <w:color w:val="000000"/>
          <w:sz w:val="20"/>
        </w:rPr>
      </w:pPr>
      <w:r>
        <w:rPr>
          <w:rFonts w:ascii="Times New Roman" w:hAnsi="Times New Roman"/>
          <w:b/>
          <w:color w:val="000000"/>
          <w:sz w:val="20"/>
        </w:rPr>
        <w:t>Share-based payment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By the Subsidiaries (cont’d)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Guangxi Sky Cloud Technology Co., Ltd Equity Incentive Plan (the “Sky Cloud Equity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Sky Cloud Equity Plan was approved by the shareholders of Yuchai on March 21, 2025. It is administrated by Yuchai RC.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salient terms of the Sky Cloud Equity Plan are as follows: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participants would be awarded interests in Sky Cloud in two phases such that the registered capital of Sky Cloud would be increased by an aggregate of RMB 1.25 million which corresponds to approximately 20.0% interest in the enlarged registered capital of Sky Cloud (the “Sky Cloud Interest”).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Sky Cloud Interest will be granted in two phases. Participants of Phase One will contribute an aggregate amount of RMB 1.1 million (US$ 0.2 million) at a subscription price of RMB 1 per RMB 1 registered capital of Sky Cloud. The remaining Sky Cloud Interest will be granted in Phase Two at a subscription price of 80% of the latest audited net assets value or RMB 1 (whichever is higher) per RMB 1 registered capital of Sky Cloud.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participants of the Sky Cloud Share Scheme are employees and senior officers (who may also be directors) of Sky Cloud.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Sky Cloud Interest is held by separate partnership vehicles established by the participants of the Sky Cloud Equity Plan (“Sky Cloud Partnership Interest”). Phase One of the Sky Cloud Interest has been awarded on April 27, 2025. Phase Two of the Sky Cloud Interest will be awarded no later than June 30, 2027. Although all partners in each of the partnership vehicles including Yuchai have the right (but not the obligation) to buy the Sky Cloud Partnership Interests in that partnership vehicle under a special scenario, should Yuchai buy any Sky Cloud Partnership Interests in any partnership vehicle, it has to transfer to newly identified employees approved by the Yuchai RC within six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partnership vehicles which hold the Sky Cloud Interest include (a) a lock-up period commencing on the date of issuance of the Sky Cloud Interest and a moratorium period ending (ai) in the event that Sky Cloud undertakes a public listing, three years after such listing; or (aii) in the event that Sky Cloud does not undertake a public listing, ten years; (b) the partnership vehicles are to vote on all matters proposed at shareholders’ meetings of Sky Cloud in the same manner as Yuchai; (c) transfer/sale/mortgage/gift restrictions on the Sky Cloud Partnership Interests; (d) save for one key employee (being also the general partner of the partnership vehicles) who may continue to hold his Sky Cloud Partnership Interests upon retirement provided that he shall be converted into a limited partner. The Sky Cloud Partnership Interests must be transferred in accordance with the agreed terms and to approved person under certain special scenarios including death, termination/resignation/divorce and dismissal;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partnership vehicles have the right to distributions declared and made by Sky Cloud upon the issuance of the Sky Cloud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the awards of Sky Cloud Interest, the Group’s effective equity interest in Sky Cloud decreased from 76.4% to 62.8% as at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expense recognized for employee services received during the year is shown in the following table: </w:t>
      </w:r>
    </w:p>
    <w:p>
      <w:pPr>
        <w:pStyle w:val="TextBody"/>
        <w:bidi w:val="0"/>
        <w:jc w:val="left"/>
        <w:rPr/>
      </w:pPr>
      <w:r>
        <w:rPr/>
        <w:t> </w:t>
      </w:r>
    </w:p>
    <w:tbl>
      <w:tblPr>
        <w:tblW w:w="8455" w:type="dxa"/>
        <w:jc w:val="left"/>
        <w:tblInd w:w="0" w:type="dxa"/>
        <w:tblLayout w:type="fixed"/>
        <w:tblCellMar>
          <w:top w:w="28" w:type="dxa"/>
          <w:left w:w="28" w:type="dxa"/>
          <w:bottom w:w="28" w:type="dxa"/>
          <w:right w:w="28" w:type="dxa"/>
        </w:tblCellMar>
      </w:tblPr>
      <w:tblGrid>
        <w:gridCol w:w="4786"/>
        <w:gridCol w:w="146"/>
        <w:gridCol w:w="186"/>
        <w:gridCol w:w="730"/>
        <w:gridCol w:w="146"/>
        <w:gridCol w:w="146"/>
        <w:gridCol w:w="162"/>
        <w:gridCol w:w="754"/>
        <w:gridCol w:w="146"/>
        <w:gridCol w:w="146"/>
        <w:gridCol w:w="186"/>
        <w:gridCol w:w="730"/>
        <w:gridCol w:w="1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Expense arising from equity-settled share-based payment </w:t>
              <w:br/>
              <w:t>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Trade and other payables </w:t>
      </w:r>
    </w:p>
    <w:p>
      <w:pPr>
        <w:pStyle w:val="TextBody"/>
        <w:bidi w:val="0"/>
        <w:jc w:val="both"/>
        <w:rPr/>
      </w:pPr>
      <w:r>
        <w:rPr/>
        <w:t> </w:t>
      </w:r>
    </w:p>
    <w:tbl>
      <w:tblPr>
        <w:tblW w:w="9643" w:type="dxa"/>
        <w:jc w:val="left"/>
        <w:tblInd w:w="0" w:type="dxa"/>
        <w:tblLayout w:type="fixed"/>
        <w:tblCellMar>
          <w:top w:w="28" w:type="dxa"/>
          <w:left w:w="28" w:type="dxa"/>
          <w:bottom w:w="28" w:type="dxa"/>
          <w:right w:w="28" w:type="dxa"/>
        </w:tblCellMar>
      </w:tblPr>
      <w:tblGrid>
        <w:gridCol w:w="5281"/>
        <w:gridCol w:w="146"/>
        <w:gridCol w:w="146"/>
        <w:gridCol w:w="1036"/>
        <w:gridCol w:w="146"/>
        <w:gridCol w:w="146"/>
        <w:gridCol w:w="146"/>
        <w:gridCol w:w="1036"/>
        <w:gridCol w:w="146"/>
        <w:gridCol w:w="146"/>
        <w:gridCol w:w="146"/>
        <w:gridCol w:w="931"/>
        <w:gridCol w:w="1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889,841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Bills payables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staff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due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joint ventures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joint ventures (non-trade)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related parties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related parties (non-trade)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 carried at amortized cost (Note 33, Note 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from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14,493,740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sz w:val="24"/>
        </w:rPr>
      </w:pPr>
      <w:r>
        <w:rPr>
          <w:rFonts w:ascii="Times New Roman" w:hAnsi="Times New Roman"/>
          <w:color w:val="000000"/>
          <w:sz w:val="20"/>
        </w:rPr>
        <w:t>As of December 31, 2025, the bills payables include bills payable to joint ventures and other related parties amounted to RMB 242.1</w:t>
      </w:r>
      <w:r>
        <w:rPr>
          <w:rFonts w:ascii="Times New Roman" w:hAnsi="Times New Roman"/>
          <w:color w:val="000000"/>
          <w:sz w:val="24"/>
        </w:rPr>
        <w:t xml:space="preserve"> </w:t>
      </w:r>
      <w:r>
        <w:rPr>
          <w:rFonts w:ascii="Times New Roman" w:hAnsi="Times New Roman"/>
          <w:color w:val="000000"/>
          <w:sz w:val="20"/>
        </w:rPr>
        <w:t>million (US$35.0</w:t>
      </w:r>
      <w:r>
        <w:rPr>
          <w:rFonts w:ascii="Times New Roman" w:hAnsi="Times New Roman"/>
          <w:color w:val="000000"/>
          <w:sz w:val="24"/>
        </w:rPr>
        <w:t xml:space="preserve"> </w:t>
      </w:r>
      <w:r>
        <w:rPr>
          <w:rFonts w:ascii="Times New Roman" w:hAnsi="Times New Roman"/>
          <w:color w:val="000000"/>
          <w:sz w:val="20"/>
        </w:rPr>
        <w:t>million) (2024: RMB 30.1</w:t>
      </w:r>
      <w:r>
        <w:rPr>
          <w:rFonts w:ascii="Times New Roman" w:hAnsi="Times New Roman"/>
          <w:color w:val="000000"/>
          <w:sz w:val="24"/>
        </w:rPr>
        <w:t xml:space="preserve"> </w:t>
      </w:r>
      <w:r>
        <w:rPr>
          <w:rFonts w:ascii="Times New Roman" w:hAnsi="Times New Roman"/>
          <w:color w:val="000000"/>
          <w:sz w:val="20"/>
        </w:rPr>
        <w:t>million) and RMB 822.3</w:t>
      </w:r>
      <w:r>
        <w:rPr>
          <w:rFonts w:ascii="Times New Roman" w:hAnsi="Times New Roman"/>
          <w:color w:val="000000"/>
          <w:sz w:val="24"/>
        </w:rPr>
        <w:t xml:space="preserve"> </w:t>
      </w:r>
      <w:r>
        <w:rPr>
          <w:rFonts w:ascii="Times New Roman" w:hAnsi="Times New Roman"/>
          <w:color w:val="000000"/>
          <w:sz w:val="20"/>
        </w:rPr>
        <w:t>million (US$118.8</w:t>
      </w:r>
      <w:r>
        <w:rPr>
          <w:rFonts w:ascii="Times New Roman" w:hAnsi="Times New Roman"/>
          <w:color w:val="000000"/>
          <w:sz w:val="24"/>
        </w:rPr>
        <w:t xml:space="preserve"> </w:t>
      </w:r>
      <w:r>
        <w:rPr>
          <w:rFonts w:ascii="Times New Roman" w:hAnsi="Times New Roman"/>
          <w:color w:val="000000"/>
          <w:sz w:val="20"/>
        </w:rPr>
        <w:t>million) (2024: RMB 597.1</w:t>
      </w:r>
      <w:r>
        <w:rPr>
          <w:rFonts w:ascii="Times New Roman" w:hAnsi="Times New Roman"/>
          <w:color w:val="000000"/>
          <w:sz w:val="24"/>
        </w:rPr>
        <w:t xml:space="preserve"> </w:t>
      </w:r>
      <w:r>
        <w:rPr>
          <w:rFonts w:ascii="Times New Roman" w:hAnsi="Times New Roman"/>
          <w:color w:val="000000"/>
          <w:sz w:val="20"/>
        </w:rPr>
        <w:t xml:space="preserve">million)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Terms and conditions of the above financial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4"/>
        </w:rPr>
      </w:pPr>
      <w:r>
        <w:rPr>
          <w:rFonts w:ascii="Times New Roman" w:hAnsi="Times New Roman"/>
          <w:color w:val="000000"/>
          <w:sz w:val="20"/>
        </w:rPr>
        <w:t>Trade and other payables are non-interest bearing and are normally settled on agreed credit terms ranging from 60</w:t>
      </w:r>
      <w:r>
        <w:rPr>
          <w:rFonts w:ascii="Times New Roman" w:hAnsi="Times New Roman"/>
          <w:color w:val="000000"/>
          <w:sz w:val="24"/>
        </w:rPr>
        <w:t xml:space="preserve"> </w:t>
      </w:r>
      <w:r>
        <w:rPr>
          <w:rFonts w:ascii="Times New Roman" w:hAnsi="Times New Roman"/>
          <w:color w:val="000000"/>
          <w:sz w:val="20"/>
        </w:rPr>
        <w:t>to 90</w:t>
      </w:r>
      <w:r>
        <w:rPr>
          <w:rFonts w:ascii="Times New Roman" w:hAnsi="Times New Roman"/>
          <w:color w:val="000000"/>
          <w:sz w:val="24"/>
        </w:rPr>
        <w:t xml:space="preserve"> </w:t>
      </w:r>
      <w:r>
        <w:rPr>
          <w:rFonts w:ascii="Times New Roman" w:hAnsi="Times New Roman"/>
          <w:color w:val="000000"/>
          <w:sz w:val="20"/>
        </w:rPr>
        <w:t xml:space="preserve">day terms.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4"/>
        </w:rPr>
      </w:pPr>
      <w:r>
        <w:rPr>
          <w:rFonts w:ascii="Times New Roman" w:hAnsi="Times New Roman"/>
          <w:color w:val="000000"/>
          <w:sz w:val="20"/>
        </w:rPr>
        <w:t>The non-trade balances due to joint ventures and related parties are unsecured, interest-free and repayable on demand.</w:t>
      </w:r>
      <w:r>
        <w:rPr>
          <w:rFonts w:ascii="Times New Roman" w:hAnsi="Times New Roman"/>
          <w:color w:val="000000"/>
          <w:sz w:val="24"/>
        </w:rPr>
        <w:t xml:space="preserve"> </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3061"/>
        <w:gridCol w:w="146"/>
        <w:gridCol w:w="146"/>
        <w:gridCol w:w="781"/>
        <w:gridCol w:w="146"/>
        <w:gridCol w:w="146"/>
        <w:gridCol w:w="146"/>
        <w:gridCol w:w="781"/>
        <w:gridCol w:w="146"/>
        <w:gridCol w:w="146"/>
        <w:gridCol w:w="162"/>
        <w:gridCol w:w="754"/>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payables </w:t>
            </w:r>
            <w:r>
              <w:rPr>
                <w:rFonts w:ascii="Times New Roman" w:hAnsi="Times New Roman"/>
                <w:color w:val="000000"/>
                <w:sz w:val="13"/>
              </w:rPr>
              <w:t>(i)</w:t>
            </w:r>
            <w:r>
              <w:rPr>
                <w:rFonts w:ascii="Times New Roman" w:hAnsi="Times New Roman"/>
                <w:color w:val="000000"/>
                <w:sz w:val="20"/>
              </w:rPr>
              <w:t> (Note 33, Note 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This relates to accrual for bonus, which is non-interest bearing and not expected to be settled within next 12 months.</w:t>
      </w:r>
      <w:r>
        <w:rPr>
          <w:color w:val="00000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Provisions </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3616"/>
        <w:gridCol w:w="146"/>
        <w:gridCol w:w="157"/>
        <w:gridCol w:w="908"/>
        <w:gridCol w:w="166"/>
        <w:gridCol w:w="146"/>
        <w:gridCol w:w="167"/>
        <w:gridCol w:w="898"/>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 for</w:t>
              <w:br/>
              <w:t>warranty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 for</w:t>
              <w:br/>
              <w:t>warranty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made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utilized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 and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utilized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25.</w:t>
      </w:r>
    </w:p>
    <w:p>
      <w:pPr>
        <w:pStyle w:val="TextBody"/>
        <w:bidi w:val="0"/>
        <w:jc w:val="both"/>
        <w:rPr>
          <w:rFonts w:ascii="Times New Roman" w:hAnsi="Times New Roman"/>
          <w:b/>
          <w:color w:val="000000"/>
          <w:sz w:val="20"/>
        </w:rPr>
      </w:pPr>
      <w:r>
        <w:rPr>
          <w:rFonts w:ascii="Times New Roman" w:hAnsi="Times New Roman"/>
          <w:b/>
          <w:color w:val="000000"/>
          <w:sz w:val="20"/>
        </w:rPr>
        <w:t xml:space="preserve">Contract liabilities </w:t>
      </w:r>
    </w:p>
    <w:p>
      <w:pPr>
        <w:pStyle w:val="TextBody"/>
        <w:bidi w:val="0"/>
        <w:jc w:val="both"/>
        <w:rPr/>
      </w:pPr>
      <w:r>
        <w:rPr/>
        <w:t> </w:t>
      </w:r>
    </w:p>
    <w:tbl>
      <w:tblPr>
        <w:tblW w:w="7528" w:type="dxa"/>
        <w:jc w:val="left"/>
        <w:tblInd w:w="0" w:type="dxa"/>
        <w:tblLayout w:type="fixed"/>
        <w:tblCellMar>
          <w:top w:w="28" w:type="dxa"/>
          <w:left w:w="28" w:type="dxa"/>
          <w:bottom w:w="28" w:type="dxa"/>
          <w:right w:w="28" w:type="dxa"/>
        </w:tblCellMar>
      </w:tblPr>
      <w:tblGrid>
        <w:gridCol w:w="3826"/>
        <w:gridCol w:w="146"/>
        <w:gridCol w:w="146"/>
        <w:gridCol w:w="781"/>
        <w:gridCol w:w="146"/>
        <w:gridCol w:w="146"/>
        <w:gridCol w:w="146"/>
        <w:gridCol w:w="781"/>
        <w:gridCol w:w="146"/>
        <w:gridCol w:w="146"/>
        <w:gridCol w:w="146"/>
        <w:gridCol w:w="78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Unfulfilled service-type maintenance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from customer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liabilities (Note 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26.</w:t>
      </w:r>
    </w:p>
    <w:p>
      <w:pPr>
        <w:pStyle w:val="TextBody"/>
        <w:bidi w:val="0"/>
        <w:jc w:val="left"/>
        <w:rPr>
          <w:rFonts w:ascii="Times New Roman" w:hAnsi="Times New Roman"/>
          <w:b/>
          <w:color w:val="000000"/>
          <w:sz w:val="20"/>
        </w:rPr>
      </w:pPr>
      <w:r>
        <w:rPr>
          <w:rFonts w:ascii="Times New Roman" w:hAnsi="Times New Roman"/>
          <w:b/>
          <w:color w:val="000000"/>
          <w:sz w:val="20"/>
        </w:rPr>
        <w:t xml:space="preserve">Lease liabilities </w:t>
      </w:r>
    </w:p>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1951"/>
        <w:gridCol w:w="146"/>
        <w:gridCol w:w="146"/>
        <w:gridCol w:w="146"/>
        <w:gridCol w:w="1006"/>
        <w:gridCol w:w="146"/>
        <w:gridCol w:w="1006"/>
        <w:gridCol w:w="146"/>
        <w:gridCol w:w="162"/>
        <w:gridCol w:w="754"/>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2.4 - 6.7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current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1.3 - 6.7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16" w:type="dxa"/>
        <w:jc w:val="left"/>
        <w:tblInd w:w="0" w:type="dxa"/>
        <w:tblLayout w:type="fixed"/>
        <w:tblCellMar>
          <w:top w:w="28" w:type="dxa"/>
          <w:left w:w="28" w:type="dxa"/>
          <w:bottom w:w="28" w:type="dxa"/>
          <w:right w:w="28" w:type="dxa"/>
        </w:tblCellMar>
      </w:tblPr>
      <w:tblGrid>
        <w:gridCol w:w="1951"/>
        <w:gridCol w:w="146"/>
        <w:gridCol w:w="1006"/>
        <w:gridCol w:w="146"/>
        <w:gridCol w:w="1006"/>
        <w:gridCol w:w="146"/>
        <w:gridCol w:w="162"/>
        <w:gridCol w:w="754"/>
        <w:gridCol w:w="146"/>
        <w:gridCol w:w="146"/>
        <w:gridCol w:w="186"/>
        <w:gridCol w:w="730"/>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1.3 - 6.7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current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2.7 - 6.7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Loans and borrowings</w:t>
      </w:r>
    </w:p>
    <w:p>
      <w:pPr>
        <w:pStyle w:val="TextBody"/>
        <w:bidi w:val="0"/>
        <w:jc w:val="left"/>
        <w:rPr/>
      </w:pPr>
      <w:r>
        <w:rPr/>
        <w:t> </w:t>
      </w:r>
    </w:p>
    <w:tbl>
      <w:tblPr>
        <w:tblW w:w="5908" w:type="dxa"/>
        <w:jc w:val="left"/>
        <w:tblInd w:w="0" w:type="dxa"/>
        <w:tblLayout w:type="fixed"/>
        <w:tblCellMar>
          <w:top w:w="28" w:type="dxa"/>
          <w:left w:w="28" w:type="dxa"/>
          <w:bottom w:w="28" w:type="dxa"/>
          <w:right w:w="28" w:type="dxa"/>
        </w:tblCellMar>
      </w:tblPr>
      <w:tblGrid>
        <w:gridCol w:w="1906"/>
        <w:gridCol w:w="146"/>
        <w:gridCol w:w="146"/>
        <w:gridCol w:w="931"/>
        <w:gridCol w:w="146"/>
        <w:gridCol w:w="146"/>
        <w:gridCol w:w="146"/>
        <w:gridCol w:w="931"/>
        <w:gridCol w:w="146"/>
        <w:gridCol w:w="146"/>
        <w:gridCol w:w="146"/>
        <w:gridCol w:w="78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bank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Terms and conditions of outstanding loans and borrowings are as follows:</w:t>
      </w:r>
    </w:p>
    <w:p>
      <w:pPr>
        <w:pStyle w:val="TextBody"/>
        <w:bidi w:val="0"/>
        <w:jc w:val="both"/>
        <w:rPr/>
      </w:pPr>
      <w:r>
        <w:rPr/>
        <w:t> </w:t>
      </w:r>
    </w:p>
    <w:tbl>
      <w:tblPr>
        <w:tblW w:w="6546" w:type="dxa"/>
        <w:jc w:val="left"/>
        <w:tblInd w:w="0" w:type="dxa"/>
        <w:tblLayout w:type="fixed"/>
        <w:tblCellMar>
          <w:top w:w="28" w:type="dxa"/>
          <w:left w:w="28" w:type="dxa"/>
          <w:bottom w:w="28" w:type="dxa"/>
          <w:right w:w="28" w:type="dxa"/>
        </w:tblCellMar>
      </w:tblPr>
      <w:tblGrid>
        <w:gridCol w:w="2551"/>
        <w:gridCol w:w="146"/>
        <w:gridCol w:w="146"/>
        <w:gridCol w:w="146"/>
        <w:gridCol w:w="991"/>
        <w:gridCol w:w="146"/>
        <w:gridCol w:w="1006"/>
        <w:gridCol w:w="146"/>
        <w:gridCol w:w="146"/>
        <w:gridCol w:w="93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Renminbi fixed 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Unsecured bank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Renminbi fixed rate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Renminbi floating 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2,489,800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73" w:type="dxa"/>
        <w:jc w:val="left"/>
        <w:tblInd w:w="0" w:type="dxa"/>
        <w:tblLayout w:type="fixed"/>
        <w:tblCellMar>
          <w:top w:w="28" w:type="dxa"/>
          <w:left w:w="28" w:type="dxa"/>
          <w:bottom w:w="28" w:type="dxa"/>
          <w:right w:w="28" w:type="dxa"/>
        </w:tblCellMar>
      </w:tblPr>
      <w:tblGrid>
        <w:gridCol w:w="2551"/>
        <w:gridCol w:w="146"/>
        <w:gridCol w:w="991"/>
        <w:gridCol w:w="146"/>
        <w:gridCol w:w="1006"/>
        <w:gridCol w:w="146"/>
        <w:gridCol w:w="146"/>
        <w:gridCol w:w="931"/>
        <w:gridCol w:w="146"/>
        <w:gridCol w:w="146"/>
        <w:gridCol w:w="146"/>
        <w:gridCol w:w="78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Unsecured bank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Renminbi fixed 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Renminbi floating rate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S$30.0</w:t>
      </w:r>
      <w:r>
        <w:rPr>
          <w:rFonts w:ascii="Times New Roman" w:hAnsi="Times New Roman"/>
          <w:color w:val="000000"/>
          <w:sz w:val="20"/>
        </w:rPr>
        <w:t xml:space="preserve"> </w:t>
      </w:r>
      <w:r>
        <w:rPr>
          <w:rFonts w:ascii="Times New Roman" w:hAnsi="Times New Roman"/>
          <w:b/>
          <w:color w:val="000000"/>
          <w:sz w:val="20"/>
        </w:rPr>
        <w:t>million credit facility with DBS Bank Ltd (“DBS”)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25, 2021, the Company entered into an uncommitted revolving credit facility agreement with DBS with an aggregate value of S$30.0 million. The facility may be used to finance the Group general working capital requirements. Among other things, the terms of the facility required that at all times (i) the Company retains at least 76.4% ownership in Yuchai, (ii) HLA retains ownership of the special share, directly or indirectly retains at least 35% ownership of the Company and that the Company remains a subsidiary of HLA, and (iii) HLGE remains listed on the Main Board of Singapore Exchange. The terms of the facility also included certain financial covenants with respect to the Company’s consolidated tangible net worth (as defined in the agreement) not being less than US$400 million, and the ratio of the consolidated total debt (as defined in the agreement) to consolidated tangible net worth not exceeding 1.0 times.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Loans and borrowings (cont’d)</w:t>
      </w:r>
    </w:p>
    <w:p>
      <w:pPr>
        <w:pStyle w:val="TextBody"/>
        <w:bidi w:val="0"/>
        <w:spacing w:before="240" w:after="283"/>
        <w:jc w:val="both"/>
        <w:rPr>
          <w:rFonts w:ascii="Times New Roman" w:hAnsi="Times New Roman"/>
          <w:sz w:val="20"/>
        </w:rPr>
      </w:pPr>
      <w:r>
        <w:rPr>
          <w:rFonts w:ascii="Times New Roman" w:hAnsi="Times New Roman"/>
          <w:b/>
          <w:color w:val="000000"/>
          <w:sz w:val="20"/>
        </w:rPr>
        <w:t>S$30.0</w:t>
      </w:r>
      <w:r>
        <w:rPr>
          <w:rFonts w:ascii="Times New Roman" w:hAnsi="Times New Roman"/>
          <w:color w:val="000000"/>
          <w:sz w:val="20"/>
        </w:rPr>
        <w:t xml:space="preserve"> </w:t>
      </w:r>
      <w:r>
        <w:rPr>
          <w:rFonts w:ascii="Times New Roman" w:hAnsi="Times New Roman"/>
          <w:b/>
          <w:color w:val="000000"/>
          <w:sz w:val="20"/>
        </w:rPr>
        <w:t>million credit facility with MUFG Bank Ltd, Singapore Branch (“MUFG”)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18, 2023, the Company entered into an uncommitted and unsecured multi-currency short-term loan agreement with MUFG for an aggregate value of S$30.0 million. The facility may be used to finance the Company’s general working capital requirements. Among other things, the terms of the facility required that at all times (i) HLA maintain legal and beneficial ownership of at least 7,290,000 issued and paid-up shares in the Company, and retains ownership of the special share in the Company, (ii) the Company remains a consolidated subsidiary of HLA, (iii) the Company directly or indirectly retains at least 76.4% ownership in Yuchai, and (iv) HLGE remains listed on the Main Board of Singapore Exchange. The terms of the facility also include certain financial covenants with respect to the Company’s tangible net worth (as defined in the agreement) not being less than US$120 million at all times and the ratio of the Company’s total net debt (as defined in the agreement) to tangible net worth not exceeding 2.0 times at all times, as well as negative pledge provisions and customary drawdown requirements.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US$30.0</w:t>
      </w:r>
      <w:r>
        <w:rPr>
          <w:rFonts w:ascii="Times New Roman" w:hAnsi="Times New Roman"/>
          <w:color w:val="000000"/>
          <w:sz w:val="20"/>
        </w:rPr>
        <w:t xml:space="preserve"> </w:t>
      </w:r>
      <w:r>
        <w:rPr>
          <w:rFonts w:ascii="Times New Roman" w:hAnsi="Times New Roman"/>
          <w:b/>
          <w:color w:val="000000"/>
          <w:sz w:val="20"/>
        </w:rPr>
        <w:t>million credit facility with Sumitomo Mitsui Banking Corporation, Singapore Branch (“SMBC”)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10, 2025, the Company entered into an uncommitted and unsecured multi-currency short-term revolving credit facility agreement with SMBC for an aggregate value of US$30.0 million. The maximum tenor of each drawdown under the facility is six months for US dollars and Singapore dollars. This facility may be used by to finance the Company’s general working capital requirements. The terms of the facility require, among other things, that HLA maintain legal and beneficial ownership of at least 7,290,000 issued and paid-up shares in the Company, retains ownership of the special share and that the Company remains a subsidiary of HLA. The terms of the facility also include certain financial covenants with respect to the Company’s consolidated tangible net worth (as defined in the agreement) as of June 30 and December 31 of each year not less than US$200 million and the ratio of the Company’s consolidated total net debt (as defined in the agreement) to consolidated tangible net worth as of June 30 and December 31 of each year not exceeding 2.0 times, as well as negative pledge provisions and customary drawdown requirements.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28.</w:t>
      </w:r>
    </w:p>
    <w:p>
      <w:pPr>
        <w:pStyle w:val="TextBody"/>
        <w:bidi w:val="0"/>
        <w:jc w:val="both"/>
        <w:rPr>
          <w:rFonts w:ascii="Times New Roman" w:hAnsi="Times New Roman"/>
          <w:b/>
          <w:color w:val="000000"/>
          <w:sz w:val="20"/>
        </w:rPr>
      </w:pPr>
      <w:r>
        <w:rPr>
          <w:rFonts w:ascii="Times New Roman" w:hAnsi="Times New Roman"/>
          <w:b/>
          <w:color w:val="000000"/>
          <w:sz w:val="20"/>
        </w:rPr>
        <w:t xml:space="preserve">Deferred grants </w:t>
      </w:r>
    </w:p>
    <w:p>
      <w:pPr>
        <w:pStyle w:val="TextBody"/>
        <w:bidi w:val="0"/>
        <w:jc w:val="both"/>
        <w:rPr/>
      </w:pPr>
      <w:r>
        <w:rPr/>
        <w:t> </w:t>
      </w:r>
    </w:p>
    <w:tbl>
      <w:tblPr>
        <w:tblW w:w="8072" w:type="dxa"/>
        <w:jc w:val="left"/>
        <w:tblInd w:w="0" w:type="dxa"/>
        <w:tblLayout w:type="fixed"/>
        <w:tblCellMar>
          <w:top w:w="28" w:type="dxa"/>
          <w:left w:w="28" w:type="dxa"/>
          <w:bottom w:w="28" w:type="dxa"/>
          <w:right w:w="28" w:type="dxa"/>
        </w:tblCellMar>
      </w:tblPr>
      <w:tblGrid>
        <w:gridCol w:w="4261"/>
        <w:gridCol w:w="146"/>
        <w:gridCol w:w="146"/>
        <w:gridCol w:w="841"/>
        <w:gridCol w:w="166"/>
        <w:gridCol w:w="146"/>
        <w:gridCol w:w="146"/>
        <w:gridCol w:w="781"/>
        <w:gridCol w:w="166"/>
        <w:gridCol w:w="146"/>
        <w:gridCol w:w="162"/>
        <w:gridCol w:w="754"/>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disbursed to partner of joint project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 to consolidated statement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29.</w:t>
      </w:r>
    </w:p>
    <w:p>
      <w:pPr>
        <w:pStyle w:val="TextBody"/>
        <w:bidi w:val="0"/>
        <w:jc w:val="both"/>
        <w:rPr>
          <w:rFonts w:ascii="Times New Roman" w:hAnsi="Times New Roman"/>
          <w:b/>
          <w:color w:val="000000"/>
          <w:sz w:val="20"/>
        </w:rPr>
      </w:pPr>
      <w:r>
        <w:rPr>
          <w:rFonts w:ascii="Times New Roman" w:hAnsi="Times New Roman"/>
          <w:b/>
          <w:color w:val="000000"/>
          <w:sz w:val="20"/>
        </w:rPr>
        <w:t xml:space="preserve">Other financial liability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2022, Yuchai Simlan received RMB 50.0 million from an investor for its 9.1% of shareholding in Yuchai Simlan. In February 2023, Yuchai Simlan received another RMB 20.0 million from two new investors for its 3.2% of shareholding in Yuchai Simlan. At the same time, Yuchai has granted a put option to these investors (non-controlling interest of its subsidiary company, Yuchai Simlan). These options may be exercised at cost plus agreed interests (based on a fixed interest rate) if certain conditions are not met by end of 2027. Accordingly, the Group recognized a financial liability based on the present value of the amount payable upon exercise of the put. A corresponding capital reserve was recognized (Note 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Related party disclosures </w:t>
      </w:r>
    </w:p>
    <w:p>
      <w:pPr>
        <w:pStyle w:val="TextBody"/>
        <w:bidi w:val="0"/>
        <w:spacing w:before="120" w:after="283"/>
        <w:jc w:val="both"/>
        <w:rPr>
          <w:rFonts w:ascii="Times New Roman" w:hAnsi="Times New Roman"/>
          <w:sz w:val="20"/>
        </w:rPr>
      </w:pPr>
      <w:r>
        <w:rPr>
          <w:rFonts w:ascii="Times New Roman" w:hAnsi="Times New Roman"/>
          <w:b/>
          <w:i/>
          <w:color w:val="000000"/>
          <w:sz w:val="20"/>
        </w:rPr>
        <w:t>The ultimate parent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controlling shareholder of the Company, HLA, indirectly owned 18,270,965, or 48.7% (2024: 18,270,965, or 48.7%), of the ordinary shares (net of treasury shares) in the capital of the Company, as well as a special share that entitles it to elect a majority of directors of the Company. The immediate and ultimate holding companies of HLA are Hong Leong Corporation Holdings Pte Ltd and Hong Leong Investment Holdings Pte. Ltd.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there were transactions other than dividends paid, between the Group and HLA of RMB 0.7 million (less than US$0.1 million) (2024: RMB 0.6 million; 2023: RMB 0.5 million). The transaction relates to consultancy fees charged by HLA. </w:t>
      </w:r>
    </w:p>
    <w:p>
      <w:pPr>
        <w:pStyle w:val="TextBody"/>
        <w:bidi w:val="0"/>
        <w:spacing w:before="240" w:after="283"/>
        <w:jc w:val="both"/>
        <w:rPr>
          <w:rFonts w:ascii="Times New Roman" w:hAnsi="Times New Roman"/>
          <w:sz w:val="20"/>
        </w:rPr>
      </w:pPr>
      <w:r>
        <w:rPr>
          <w:rFonts w:ascii="Times New Roman" w:hAnsi="Times New Roman"/>
          <w:b/>
          <w:i/>
          <w:color w:val="000000"/>
          <w:sz w:val="20"/>
        </w:rPr>
        <w:t>Entity with significant influence over the Group</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GY through Coomber Investment Ltd. owned 20.1% (2024: 20.1%) of the ordinary shares in the capital of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provides the significant transactions that have been entered into with related parties for the relevant financial year. </w:t>
      </w:r>
    </w:p>
    <w:p>
      <w:pPr>
        <w:pStyle w:val="TextBody"/>
        <w:bidi w:val="0"/>
        <w:jc w:val="both"/>
        <w:rPr/>
      </w:pPr>
      <w:r>
        <w:rPr/>
        <w:t> </w:t>
      </w:r>
    </w:p>
    <w:tbl>
      <w:tblPr>
        <w:tblW w:w="9842" w:type="dxa"/>
        <w:jc w:val="left"/>
        <w:tblInd w:w="0" w:type="dxa"/>
        <w:tblLayout w:type="fixed"/>
        <w:tblCellMar>
          <w:top w:w="28" w:type="dxa"/>
          <w:left w:w="28" w:type="dxa"/>
          <w:bottom w:w="28" w:type="dxa"/>
          <w:right w:w="28" w:type="dxa"/>
        </w:tblCellMar>
      </w:tblPr>
      <w:tblGrid>
        <w:gridCol w:w="4471"/>
        <w:gridCol w:w="146"/>
        <w:gridCol w:w="146"/>
        <w:gridCol w:w="931"/>
        <w:gridCol w:w="146"/>
        <w:gridCol w:w="146"/>
        <w:gridCol w:w="146"/>
        <w:gridCol w:w="931"/>
        <w:gridCol w:w="146"/>
        <w:gridCol w:w="146"/>
        <w:gridCol w:w="146"/>
        <w:gridCol w:w="931"/>
        <w:gridCol w:w="146"/>
        <w:gridCol w:w="146"/>
        <w:gridCol w:w="146"/>
        <w:gridCol w:w="781"/>
        <w:gridCol w:w="19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engines, components and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associates and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components, parts, supplies and engines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associates and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Hospitality, restaurant, consultancy and other service </w:t>
              <w:br/>
              <w:t>   income charged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a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charge charged 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an intangible asset to a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machineries &amp; equipment to a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management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HLA and its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Delivery, storage, distribution and handling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GY and its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to the above, Yuchai also entered into transactions with other PRC Government owned enterprises. Management considers that these transactions were entered into in the normal course of business and expects that these transactions will continue on normal commercial terms.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transactions with related parties are made at terms agreed between the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30.</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Related party disclosures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Compensation of key management personnel of the Group</w:t>
      </w:r>
      <w:r>
        <w:rPr>
          <w:rFonts w:ascii="Times New Roman" w:hAnsi="Times New Roman"/>
          <w:color w:val="000000"/>
          <w:sz w:val="20"/>
        </w:rPr>
        <w:t xml:space="preserve"> </w:t>
      </w:r>
    </w:p>
    <w:p>
      <w:pPr>
        <w:pStyle w:val="TextBody"/>
        <w:bidi w:val="0"/>
        <w:jc w:val="left"/>
        <w:rPr/>
      </w:pPr>
      <w:r>
        <w:rPr/>
        <w:t> </w:t>
      </w:r>
    </w:p>
    <w:tbl>
      <w:tblPr>
        <w:tblW w:w="8478" w:type="dxa"/>
        <w:jc w:val="left"/>
        <w:tblInd w:w="0" w:type="dxa"/>
        <w:tblLayout w:type="fixed"/>
        <w:tblCellMar>
          <w:top w:w="28" w:type="dxa"/>
          <w:left w:w="28" w:type="dxa"/>
          <w:bottom w:w="28" w:type="dxa"/>
          <w:right w:w="28" w:type="dxa"/>
        </w:tblCellMar>
      </w:tblPr>
      <w:tblGrid>
        <w:gridCol w:w="3601"/>
        <w:gridCol w:w="146"/>
        <w:gridCol w:w="162"/>
        <w:gridCol w:w="754"/>
        <w:gridCol w:w="146"/>
        <w:gridCol w:w="146"/>
        <w:gridCol w:w="162"/>
        <w:gridCol w:w="754"/>
        <w:gridCol w:w="146"/>
        <w:gridCol w:w="146"/>
        <w:gridCol w:w="162"/>
        <w:gridCol w:w="754"/>
        <w:gridCol w:w="146"/>
        <w:gridCol w:w="146"/>
        <w:gridCol w:w="186"/>
        <w:gridCol w:w="730"/>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 to defined contribution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non-executive directors do not receive pension entitlements from the Group.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lease commitments - Group as lessee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has various lease contracts that have not yet commenced as of December 31, 2025. The future lease payments for these non-cancellable lease contracts are as follows:</w:t>
      </w:r>
    </w:p>
    <w:p>
      <w:pPr>
        <w:pStyle w:val="TextBody"/>
        <w:bidi w:val="0"/>
        <w:jc w:val="both"/>
        <w:rPr/>
      </w:pPr>
      <w:r>
        <w:rPr/>
        <w:t> </w:t>
      </w:r>
    </w:p>
    <w:tbl>
      <w:tblPr>
        <w:tblW w:w="6235" w:type="dxa"/>
        <w:jc w:val="left"/>
        <w:tblInd w:w="0" w:type="dxa"/>
        <w:tblLayout w:type="fixed"/>
        <w:tblCellMar>
          <w:top w:w="28" w:type="dxa"/>
          <w:left w:w="28" w:type="dxa"/>
          <w:bottom w:w="28" w:type="dxa"/>
          <w:right w:w="28" w:type="dxa"/>
        </w:tblCellMar>
      </w:tblPr>
      <w:tblGrid>
        <w:gridCol w:w="2566"/>
        <w:gridCol w:w="146"/>
        <w:gridCol w:w="271"/>
        <w:gridCol w:w="645"/>
        <w:gridCol w:w="146"/>
        <w:gridCol w:w="146"/>
        <w:gridCol w:w="235"/>
        <w:gridCol w:w="681"/>
        <w:gridCol w:w="146"/>
        <w:gridCol w:w="146"/>
        <w:gridCol w:w="271"/>
        <w:gridCol w:w="645"/>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 year but within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Capital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and 2025, the Group had capital expenditure (mainly in respect of property, plant and equipment) contracted for but not paid and not recognized in financial statements amounting to RMB 310.7 million and RMB 229.3 million (US$33.1 million) respectively. The Group’s share of joint venture’s capital commitment is disclosed in Note 6.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Segment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management purposes, the Group is organized into business units based on their products and services, and has two reportable operating segments as follows: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Yuchai primarily conducts manufacturing for on- and off-road powertrain solutions and applications which are mainly distributed in the PRC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HLGE is engaged in hospitality and property development activities conducted mainly in Malaysia. HLGE is listed on the Main Board of the Singapore Exchange.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Segment information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monitors the operating results of its business units separately for the purpose of making decisions about resource allocation and performance assessment. </w:t>
      </w:r>
    </w:p>
    <w:p>
      <w:pPr>
        <w:pStyle w:val="TextBody"/>
        <w:bidi w:val="0"/>
        <w:jc w:val="left"/>
        <w:rPr/>
      </w:pPr>
      <w:r>
        <w:rPr/>
        <w:t> </w:t>
      </w:r>
    </w:p>
    <w:tbl>
      <w:tblPr>
        <w:tblW w:w="9160" w:type="dxa"/>
        <w:jc w:val="left"/>
        <w:tblInd w:w="0" w:type="dxa"/>
        <w:tblLayout w:type="fixed"/>
        <w:tblCellMar>
          <w:top w:w="28" w:type="dxa"/>
          <w:left w:w="28" w:type="dxa"/>
          <w:bottom w:w="28" w:type="dxa"/>
          <w:right w:w="28" w:type="dxa"/>
        </w:tblCellMar>
      </w:tblPr>
      <w:tblGrid>
        <w:gridCol w:w="2341"/>
        <w:gridCol w:w="146"/>
        <w:gridCol w:w="146"/>
        <w:gridCol w:w="976"/>
        <w:gridCol w:w="166"/>
        <w:gridCol w:w="146"/>
        <w:gridCol w:w="146"/>
        <w:gridCol w:w="691"/>
        <w:gridCol w:w="166"/>
        <w:gridCol w:w="146"/>
        <w:gridCol w:w="146"/>
        <w:gridCol w:w="826"/>
        <w:gridCol w:w="166"/>
        <w:gridCol w:w="256"/>
        <w:gridCol w:w="148"/>
        <w:gridCol w:w="903"/>
        <w:gridCol w:w="166"/>
        <w:gridCol w:w="146"/>
        <w:gridCol w:w="146"/>
        <w:gridCol w:w="976"/>
        <w:gridCol w:w="21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Year ended</w:t>
              <w:b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Yuchai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HLGE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Corporate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Eliminations/</w:t>
              <w:br/>
              <w:t>adjustment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w:t>
              <w:br/>
              <w:t>financial</w:t>
              <w:br/>
              <w:t>statements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Total external revenue </w:t>
              <w:br/>
              <w:t>   (Note 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18,015,280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18,046,349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(659,426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(665,065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 on disposal of a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of results of associates</w:t>
              <w:br/>
              <w:t>   and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62,078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 xml:space="preserve">Other material non-cash </w:t>
              <w:br/>
              <w: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Impairment of property, plant </w:t>
              <w:br/>
              <w: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Impairment of trade and other</w:t>
              <w:br/>
              <w: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Segment profit after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24,579,069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2,258,575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(1,503,994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25,757,618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(13,486,829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(ii)</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(13,581,993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237,229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Capital expenditure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176,782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178,876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70" w:type="dxa"/>
        <w:jc w:val="left"/>
        <w:tblInd w:w="0" w:type="dxa"/>
        <w:tblLayout w:type="fixed"/>
        <w:tblCellMar>
          <w:top w:w="28" w:type="dxa"/>
          <w:left w:w="28" w:type="dxa"/>
          <w:bottom w:w="28" w:type="dxa"/>
          <w:right w:w="28" w:type="dxa"/>
        </w:tblCellMar>
      </w:tblPr>
      <w:tblGrid>
        <w:gridCol w:w="2251"/>
        <w:gridCol w:w="146"/>
        <w:gridCol w:w="146"/>
        <w:gridCol w:w="976"/>
        <w:gridCol w:w="166"/>
        <w:gridCol w:w="146"/>
        <w:gridCol w:w="146"/>
        <w:gridCol w:w="691"/>
        <w:gridCol w:w="166"/>
        <w:gridCol w:w="146"/>
        <w:gridCol w:w="146"/>
        <w:gridCol w:w="826"/>
        <w:gridCol w:w="166"/>
        <w:gridCol w:w="256"/>
        <w:gridCol w:w="148"/>
        <w:gridCol w:w="903"/>
        <w:gridCol w:w="166"/>
        <w:gridCol w:w="146"/>
        <w:gridCol w:w="146"/>
        <w:gridCol w:w="976"/>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Year ended</w:t>
              <w:b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Yuchai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HLGE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Corporate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Eliminations/</w:t>
              <w:br/>
              <w:t>adjustment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w:t>
              <w:br/>
              <w:t>financial</w:t>
              <w:br/>
              <w:t>statements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Total external revenue </w:t>
              <w:br/>
              <w:t>   (Note 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19,102,797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19,133,575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(714,830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of results of associates</w:t>
              <w:br/>
              <w:t>   and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(128,798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material non-cash</w:t>
              <w:br/>
              <w: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Impairment of property, plant </w:t>
              <w:br/>
              <w: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Impairment of intangible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Impairment of trade and other</w:t>
              <w:br/>
              <w: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(185,523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Segment profit after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26,113,702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(1,504,355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27,048,094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(14,655,119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(ii)</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(14,748,529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in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338,579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Capital expenditure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349,696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352,829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Segment information (cont’d)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1"/>
        <w:gridCol w:w="146"/>
        <w:gridCol w:w="146"/>
        <w:gridCol w:w="976"/>
        <w:gridCol w:w="166"/>
        <w:gridCol w:w="146"/>
        <w:gridCol w:w="146"/>
        <w:gridCol w:w="691"/>
        <w:gridCol w:w="166"/>
        <w:gridCol w:w="146"/>
        <w:gridCol w:w="146"/>
        <w:gridCol w:w="826"/>
        <w:gridCol w:w="166"/>
        <w:gridCol w:w="247"/>
        <w:gridCol w:w="148"/>
        <w:gridCol w:w="903"/>
        <w:gridCol w:w="166"/>
        <w:gridCol w:w="146"/>
        <w:gridCol w:w="146"/>
        <w:gridCol w:w="976"/>
        <w:gridCol w:w="166"/>
        <w:gridCol w:w="146"/>
        <w:gridCol w:w="148"/>
        <w:gridCol w:w="903"/>
        <w:gridCol w:w="212"/>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Year ended</w:t>
              <w:b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Yuchai</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HLGE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Corporate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Eliminations/</w:t>
              <w:br/>
              <w:t>adjustment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w:t>
              <w:br/>
              <w:t>financial</w:t>
              <w:br/>
              <w:t>statements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Consolidated</w:t>
              <w:br/>
              <w:t>financial</w:t>
              <w:br/>
              <w:t>statements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US$’000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Total external revenue </w:t>
              <w:br/>
              <w:t>   (Note 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24,625,748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24,661,772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3,562,398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(8,053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(706,026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(102,902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 of results of associates</w:t>
              <w:br/>
              <w:t>   and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 material non-cash</w:t>
              <w:br/>
              <w: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Impairment of property, plant </w:t>
              <w:br/>
              <w: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Impairment of intangible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Impairment of trade and other</w:t>
              <w:br/>
              <w: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Segment profit after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117,077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30,998,084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2,009,326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(1,505,344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31,958,501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4,616,412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(18,946,268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(ii)</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(19,062,882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(2,753,637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44,952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Investment in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Capital expenditure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80,924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relates mainly to the deferred tax expense relating to withholding tax on dividends from Yuchai.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relates mainly to the deferred tax liabilities relating to cumulative withholding tax on dividends that are expected to be declared from income earned after December 31, 2007 by Yuchai.</w:t>
      </w:r>
    </w:p>
    <w:p>
      <w:pPr>
        <w:pStyle w:val="TextBody"/>
        <w:bidi w:val="0"/>
        <w:spacing w:before="240" w:after="283"/>
        <w:jc w:val="both"/>
        <w:rPr>
          <w:rFonts w:ascii="Times New Roman" w:hAnsi="Times New Roman"/>
          <w:sz w:val="20"/>
        </w:rPr>
      </w:pPr>
      <w:r>
        <w:rPr>
          <w:rFonts w:ascii="Times New Roman" w:hAnsi="Times New Roman"/>
          <w:b/>
          <w:color w:val="000000"/>
          <w:sz w:val="20"/>
        </w:rPr>
        <w:t>Geographic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geographic information for revenue from external customers is disclosed in Note 7.1. </w:t>
      </w:r>
    </w:p>
    <w:p>
      <w:pPr>
        <w:pStyle w:val="TextBody"/>
        <w:bidi w:val="0"/>
        <w:spacing w:before="240" w:after="283"/>
        <w:jc w:val="both"/>
        <w:rPr>
          <w:rFonts w:ascii="Times New Roman" w:hAnsi="Times New Roman"/>
          <w:sz w:val="20"/>
        </w:rPr>
      </w:pPr>
      <w:r>
        <w:rPr>
          <w:rFonts w:ascii="Times New Roman" w:hAnsi="Times New Roman"/>
          <w:b/>
          <w:color w:val="000000"/>
          <w:sz w:val="20"/>
        </w:rPr>
        <w:t>Major customer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2025, revenues from one customer group of Yuchai segment amounted to RMB 4.2 billion (US$610.2 million). In 2024, revenues from two customer groups of Yuchai segment amounted to RMB 3.1 billion and RMB 2.1 billion respectively. In 2023, revenues from two customer groups of Yuchai segment amounted to RMB 2.3 billion and RMB 2.0 billion respectively. </w:t>
      </w:r>
    </w:p>
    <w:p>
      <w:pPr>
        <w:pStyle w:val="TextBody"/>
        <w:bidi w:val="0"/>
        <w:spacing w:before="240" w:after="283"/>
        <w:jc w:val="both"/>
        <w:rPr>
          <w:rFonts w:ascii="Times New Roman" w:hAnsi="Times New Roman"/>
          <w:sz w:val="20"/>
        </w:rPr>
      </w:pPr>
      <w:r>
        <w:rPr>
          <w:rFonts w:ascii="Times New Roman" w:hAnsi="Times New Roman"/>
          <w:b/>
          <w:color w:val="000000"/>
          <w:sz w:val="20"/>
        </w:rPr>
        <w:t>Non-current assets</w:t>
      </w:r>
      <w:r>
        <w:rPr>
          <w:rFonts w:ascii="Times New Roman" w:hAnsi="Times New Roman"/>
          <w:color w:val="000000"/>
          <w:sz w:val="20"/>
        </w:rPr>
        <w:t xml:space="preserve"> </w:t>
      </w:r>
    </w:p>
    <w:p>
      <w:pPr>
        <w:pStyle w:val="TextBody"/>
        <w:bidi w:val="0"/>
        <w:jc w:val="left"/>
        <w:rPr/>
      </w:pPr>
      <w:r>
        <w:rPr/>
        <w:t> </w:t>
      </w:r>
    </w:p>
    <w:tbl>
      <w:tblPr>
        <w:tblW w:w="5368" w:type="dxa"/>
        <w:jc w:val="left"/>
        <w:tblInd w:w="0" w:type="dxa"/>
        <w:tblLayout w:type="fixed"/>
        <w:tblCellMar>
          <w:top w:w="28" w:type="dxa"/>
          <w:left w:w="28" w:type="dxa"/>
          <w:bottom w:w="28" w:type="dxa"/>
          <w:right w:w="28" w:type="dxa"/>
        </w:tblCellMar>
      </w:tblPr>
      <w:tblGrid>
        <w:gridCol w:w="1366"/>
        <w:gridCol w:w="146"/>
        <w:gridCol w:w="146"/>
        <w:gridCol w:w="931"/>
        <w:gridCol w:w="146"/>
        <w:gridCol w:w="146"/>
        <w:gridCol w:w="146"/>
        <w:gridCol w:w="931"/>
        <w:gridCol w:w="146"/>
        <w:gridCol w:w="146"/>
        <w:gridCol w:w="146"/>
        <w:gridCol w:w="781"/>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908,533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Non-current assets for this purpose consist of property, plant and equipment, right-of-use assets, investment in joint ventures and associates, investment property, intangible assets and goodwill.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Financial risk management objectives and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principal financial liabilities comprise loans and borrowings, trade and other payables and other financial liability arising from a put option to a non-controlling interest. The main purpose of these financial liabilities is to finance the Group’s operations. The Group has trade and other receivables, and cash and bank deposits that derive directly from its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is exposed to market risk, credit risk and liquidity risk. The Group’s senior management oversees the management of these risks. There has been no change to the Group’s exposure to these financial risks or the manner in which it manages and measures the risks. </w:t>
      </w:r>
    </w:p>
    <w:p>
      <w:pPr>
        <w:pStyle w:val="TextBody"/>
        <w:bidi w:val="0"/>
        <w:spacing w:before="240" w:after="283"/>
        <w:jc w:val="both"/>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risk is the risk that the fair value or future cash flows of a financial instrument will fluctuate because of changes in market prices. Market risk comprises three types of risk: interest rate risk, currency risk and other price risk, such as equity price risk.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sensitivity analyses in the following sections relate to the position as of December 31, 2024 and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sensitivity analyses have been prepared on the basis that the amount of net debt, the ratio of fixed to floating interest rates of the debt and the proportion of financial instruments in foreign currencies are all constant at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analyses exclude the impact of movements in market variables on provisions and on the non-financial assets and liabilities of foreign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rate risk is the risk that the fair value or future cash flows of a financial instrument will fluctuate because of changes in market interest rates. The Group’s exposure to the risk of changes in market interest rates relates to the Group’s interest-bearing loans and borrowings from banks. The interest-bearing loans and borrowings of the Group are disclosed in Note 27.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manages its interest rate risk by having a mixture of fixed and variable rates for its loans and borrowings. </w:t>
      </w:r>
    </w:p>
    <w:p>
      <w:pPr>
        <w:pStyle w:val="TextBody"/>
        <w:bidi w:val="0"/>
        <w:spacing w:before="240" w:after="283"/>
        <w:jc w:val="both"/>
        <w:rPr>
          <w:rFonts w:ascii="Times New Roman" w:hAnsi="Times New Roman"/>
          <w:sz w:val="20"/>
        </w:rPr>
      </w:pPr>
      <w:r>
        <w:rPr>
          <w:rFonts w:ascii="Times New Roman" w:hAnsi="Times New Roman"/>
          <w:i/>
          <w:color w:val="000000"/>
          <w:sz w:val="20"/>
        </w:rPr>
        <w:t>Interest rate sensitivity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sensitivity analyses below have been determined based on the exposure to interest rates for interest-bearing loans and borrowings at the end of the reporting period and the stipulated change taking place at the beginning of the year and held constant throughout the reporting period in the case of instruments that have floating rates. A 50 basis points increase or decrease is used and represents management’s assessment of the possible change in interest rates.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interest rate had been 50 (2024: 50) basis points higher or lower and all other variables were held constant, the profit before tax for the year ended December 31, 2025 of the Group would decrease/increase by RMB 10.1 million (US$1.5 million) (2024: decrease/increase by RMB 12.5 million) arising from interest expenses on interest-bearing loans and borrowings. </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exchange rate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exchange rate risk is the risk that the fair value or future cash flows of an exposure will fluctuate because of changes in foreign currency exchange rates. The Group’s exposure to this risk relates primarily to the cash and bank balances, purchases and sales that are denominated in currencies other than the respective functional currencies of the entities within the Group. The currencies giving rise to this risk are primarily the Singapore Dollar, US Dollar and Euro.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translation exposure is managed by incurring debt in the operating currency so that where possible operating cash flows can be primarily used to repay obligations in the local currency. This also has the effect of minimizing the exchange differences recorded against income, as the exchange differences on the net investment are recorded directly against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risk management objectives and policies (cont’d)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Foreign currency exchange rate risk (cont’d)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Group’s exposures to foreign currency are as follows: </w:t>
      </w:r>
    </w:p>
    <w:p>
      <w:pPr>
        <w:pStyle w:val="TextBody"/>
        <w:bidi w:val="0"/>
        <w:jc w:val="left"/>
        <w:rPr/>
      </w:pPr>
      <w:r>
        <w:rPr/>
        <w:t> </w:t>
      </w:r>
    </w:p>
    <w:tbl>
      <w:tblPr>
        <w:tblW w:w="7018" w:type="dxa"/>
        <w:jc w:val="left"/>
        <w:tblInd w:w="0" w:type="dxa"/>
        <w:tblLayout w:type="fixed"/>
        <w:tblCellMar>
          <w:top w:w="28" w:type="dxa"/>
          <w:left w:w="28" w:type="dxa"/>
          <w:bottom w:w="28" w:type="dxa"/>
          <w:right w:w="28" w:type="dxa"/>
        </w:tblCellMar>
      </w:tblPr>
      <w:tblGrid>
        <w:gridCol w:w="2356"/>
        <w:gridCol w:w="146"/>
        <w:gridCol w:w="146"/>
        <w:gridCol w:w="781"/>
        <w:gridCol w:w="166"/>
        <w:gridCol w:w="146"/>
        <w:gridCol w:w="152"/>
        <w:gridCol w:w="658"/>
        <w:gridCol w:w="166"/>
        <w:gridCol w:w="146"/>
        <w:gridCol w:w="146"/>
        <w:gridCol w:w="676"/>
        <w:gridCol w:w="166"/>
        <w:gridCol w:w="146"/>
        <w:gridCol w:w="152"/>
        <w:gridCol w:w="658"/>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Singapore</w:t>
              <w:b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102" w:type="dxa"/>
        <w:jc w:val="left"/>
        <w:tblInd w:w="0" w:type="dxa"/>
        <w:tblLayout w:type="fixed"/>
        <w:tblCellMar>
          <w:top w:w="28" w:type="dxa"/>
          <w:left w:w="28" w:type="dxa"/>
          <w:bottom w:w="28" w:type="dxa"/>
          <w:right w:w="28" w:type="dxa"/>
        </w:tblCellMar>
      </w:tblPr>
      <w:tblGrid>
        <w:gridCol w:w="2356"/>
        <w:gridCol w:w="146"/>
        <w:gridCol w:w="146"/>
        <w:gridCol w:w="781"/>
        <w:gridCol w:w="166"/>
        <w:gridCol w:w="146"/>
        <w:gridCol w:w="146"/>
        <w:gridCol w:w="676"/>
        <w:gridCol w:w="166"/>
        <w:gridCol w:w="146"/>
        <w:gridCol w:w="146"/>
        <w:gridCol w:w="676"/>
        <w:gridCol w:w="166"/>
        <w:gridCol w:w="146"/>
        <w:gridCol w:w="146"/>
        <w:gridCol w:w="736"/>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Singapore</w:t>
              <w:b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b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Foreign currency exchange rate risk sensitivity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10% strengthening of the following major currencies against the functional currency of each of the Group’s entities at the reporting date would increase profit before tax by the amounts shown below. This analysis assumes that all other variables, in particular interest rates, remain constant. </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1501"/>
        <w:gridCol w:w="146"/>
        <w:gridCol w:w="162"/>
        <w:gridCol w:w="754"/>
        <w:gridCol w:w="146"/>
        <w:gridCol w:w="146"/>
        <w:gridCol w:w="186"/>
        <w:gridCol w:w="730"/>
        <w:gridCol w:w="146"/>
        <w:gridCol w:w="146"/>
        <w:gridCol w:w="186"/>
        <w:gridCol w:w="730"/>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Profit before tax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risk management objectives and policies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Credit risk is the risk that a counterparty will not meet its obligations under a financial instrument or customer contract, leading to a financial loss. The Group is exposed to credit risk from its operating activities (primarily trade receivables) and from its financing activities, including deposits with banks and financial institutions.</w:t>
      </w:r>
    </w:p>
    <w:p>
      <w:pPr>
        <w:pStyle w:val="TextBody"/>
        <w:bidi w:val="0"/>
        <w:spacing w:before="240" w:after="283"/>
        <w:jc w:val="both"/>
        <w:rPr>
          <w:rFonts w:ascii="Times New Roman" w:hAnsi="Times New Roman"/>
          <w:sz w:val="20"/>
        </w:rPr>
      </w:pPr>
      <w:r>
        <w:rPr>
          <w:rFonts w:ascii="Times New Roman" w:hAnsi="Times New Roman"/>
          <w:i/>
          <w:color w:val="000000"/>
          <w:sz w:val="20"/>
        </w:rPr>
        <w:t>Trade receivables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Customer credit risk is managed by each business unit subject to the Group’s established policy, procedures and control relating to customer credit risk management. Credit limits are established for all customers based on internal rating criteria.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has a credit policy in place and the exposure to credit risk is monitored on an ongoing basis. Credit evaluations are performed for all customers requiring credit.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impairment analysis is performed at each reporting date using a provision matrix. The provision rates are determined based on days past due for groupings of various customer segments with similar loss patterns (i.e. by profiles of the customers). The calculation reflects the reasonable and supportable information that is available at the reporting date about past events, current conditions and forecasts of future economic conditions. Generally, trade receivables are written-off after assessment and are not subject to enforcement activity. The maximum exposure to credit risk at the reporting date is the carrying value of each class of financial assets disclosed in Note 15. The Group’s share of bills receivables of an associate and a joint venture which was used as collateral as security is disclosed in Note 5 and 6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out below is the information about the credit risk exposure on the Group’s trade receivables using a provision matrix: </w:t>
      </w:r>
    </w:p>
    <w:p>
      <w:pPr>
        <w:pStyle w:val="TextBody"/>
        <w:bidi w:val="0"/>
        <w:jc w:val="left"/>
        <w:rPr/>
      </w:pPr>
      <w:r>
        <w:rPr/>
        <w:t> </w:t>
      </w:r>
    </w:p>
    <w:tbl>
      <w:tblPr>
        <w:tblW w:w="9925" w:type="dxa"/>
        <w:jc w:val="left"/>
        <w:tblInd w:w="0" w:type="dxa"/>
        <w:tblLayout w:type="fixed"/>
        <w:tblCellMar>
          <w:top w:w="28" w:type="dxa"/>
          <w:left w:w="28" w:type="dxa"/>
          <w:bottom w:w="28" w:type="dxa"/>
          <w:right w:w="28" w:type="dxa"/>
        </w:tblCellMar>
      </w:tblPr>
      <w:tblGrid>
        <w:gridCol w:w="2221"/>
        <w:gridCol w:w="146"/>
        <w:gridCol w:w="146"/>
        <w:gridCol w:w="826"/>
        <w:gridCol w:w="256"/>
        <w:gridCol w:w="146"/>
        <w:gridCol w:w="149"/>
        <w:gridCol w:w="706"/>
        <w:gridCol w:w="256"/>
        <w:gridCol w:w="146"/>
        <w:gridCol w:w="149"/>
        <w:gridCol w:w="706"/>
        <w:gridCol w:w="256"/>
        <w:gridCol w:w="146"/>
        <w:gridCol w:w="149"/>
        <w:gridCol w:w="706"/>
        <w:gridCol w:w="256"/>
        <w:gridCol w:w="146"/>
        <w:gridCol w:w="149"/>
        <w:gridCol w:w="706"/>
        <w:gridCol w:w="256"/>
        <w:gridCol w:w="146"/>
        <w:gridCol w:w="149"/>
        <w:gridCol w:w="706"/>
        <w:gridCol w:w="3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Trade receivables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Days past due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 – 90</w:t>
              <w:br/>
              <w:t>days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91-180</w:t>
              <w:br/>
              <w:t>days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181-365</w:t>
              <w:br/>
              <w:t>days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&gt;365</w:t>
              <w:br/>
              <w:t>days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credit loss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total gross carrying</w:t>
              <w:br/>
              <w:t>   amount at default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1,828,773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653,519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641,862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229,694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49,750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109,065</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42" w:type="dxa"/>
        <w:jc w:val="left"/>
        <w:tblInd w:w="0" w:type="dxa"/>
        <w:tblLayout w:type="fixed"/>
        <w:tblCellMar>
          <w:top w:w="28" w:type="dxa"/>
          <w:left w:w="28" w:type="dxa"/>
          <w:bottom w:w="28" w:type="dxa"/>
          <w:right w:w="28" w:type="dxa"/>
        </w:tblCellMar>
      </w:tblPr>
      <w:tblGrid>
        <w:gridCol w:w="2221"/>
        <w:gridCol w:w="146"/>
        <w:gridCol w:w="146"/>
        <w:gridCol w:w="826"/>
        <w:gridCol w:w="256"/>
        <w:gridCol w:w="146"/>
        <w:gridCol w:w="146"/>
        <w:gridCol w:w="826"/>
        <w:gridCol w:w="256"/>
        <w:gridCol w:w="146"/>
        <w:gridCol w:w="149"/>
        <w:gridCol w:w="706"/>
        <w:gridCol w:w="256"/>
        <w:gridCol w:w="146"/>
        <w:gridCol w:w="149"/>
        <w:gridCol w:w="706"/>
        <w:gridCol w:w="256"/>
        <w:gridCol w:w="146"/>
        <w:gridCol w:w="149"/>
        <w:gridCol w:w="706"/>
        <w:gridCol w:w="256"/>
        <w:gridCol w:w="146"/>
        <w:gridCol w:w="149"/>
        <w:gridCol w:w="706"/>
        <w:gridCol w:w="30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Trade receivables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Days past due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 – 90</w:t>
              <w:br/>
              <w:t>days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91-180</w:t>
              <w:br/>
              <w:t>days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181-365</w:t>
              <w:br/>
              <w:t>days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&gt;365</w:t>
              <w:br/>
              <w:t>days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RMB’000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credit loss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total gross carrying</w:t>
              <w:br/>
              <w:t>   amount at default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2,733,386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1,030,594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929,463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303,302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274,457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244,077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December 31, 2025, the Group had top 5 customers (2024: top 5 customers) that owed the Group more than RMB 847.6 million (US$122.4 million) (2024: RMB 242.4 million) and accounted for approximately 31.0% (2024: 13.3%) of trade receivables (including trade amounts due from related parties but excluding bills receivables) respectively. These customers are located in the PRC. The maximum exposure to credit risk at the reporting date is the carrying value of each class of financial assets mentioned in Note 15. The Group’s share of bills receivables of an associate and a joint venture which was used as collateral as security is disclosed in Note 5 and 6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fixed deposits are placed with reputable banks and financial institutions with high credit ratings and no history of default.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Financial risk management objectives and policies (cont’d)</w:t>
      </w:r>
    </w:p>
    <w:p>
      <w:pPr>
        <w:pStyle w:val="TextBody"/>
        <w:bidi w:val="0"/>
        <w:spacing w:before="120" w:after="283"/>
        <w:jc w:val="both"/>
        <w:rPr>
          <w:rFonts w:ascii="Times New Roman" w:hAnsi="Times New Roman"/>
          <w:sz w:val="20"/>
        </w:rPr>
      </w:pPr>
      <w:r>
        <w:rPr>
          <w:rFonts w:ascii="Times New Roman" w:hAnsi="Times New Roman"/>
          <w:b/>
          <w:i/>
          <w:color w:val="000000"/>
          <w:sz w:val="20"/>
        </w:rPr>
        <w:t>Liquidity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monitors its liquidity risk and maintains a level of cash and cash equivalents deemed adequate by management to finance the Group’s operations and to mitigate the effects of fluctuations in cash flows, and having adequate amounts of committed credit facilities.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table below summarizes the maturity profile of the Group’s financial assets and liabilities, as well as lease liabilities, based on contractual undiscounted payments. </w:t>
      </w:r>
    </w:p>
    <w:p>
      <w:pPr>
        <w:pStyle w:val="TextBody"/>
        <w:bidi w:val="0"/>
        <w:jc w:val="left"/>
        <w:rPr/>
      </w:pPr>
      <w:r>
        <w:rPr/>
        <w:t> </w:t>
      </w:r>
    </w:p>
    <w:tbl>
      <w:tblPr>
        <w:tblW w:w="9050" w:type="dxa"/>
        <w:jc w:val="left"/>
        <w:tblInd w:w="0" w:type="dxa"/>
        <w:tblLayout w:type="fixed"/>
        <w:tblCellMar>
          <w:top w:w="28" w:type="dxa"/>
          <w:left w:w="28" w:type="dxa"/>
          <w:bottom w:w="28" w:type="dxa"/>
          <w:right w:w="28" w:type="dxa"/>
        </w:tblCellMar>
      </w:tblPr>
      <w:tblGrid>
        <w:gridCol w:w="3736"/>
        <w:gridCol w:w="146"/>
        <w:gridCol w:w="146"/>
        <w:gridCol w:w="1036"/>
        <w:gridCol w:w="146"/>
        <w:gridCol w:w="146"/>
        <w:gridCol w:w="146"/>
        <w:gridCol w:w="781"/>
        <w:gridCol w:w="146"/>
        <w:gridCol w:w="146"/>
        <w:gridCol w:w="208"/>
        <w:gridCol w:w="602"/>
        <w:gridCol w:w="146"/>
        <w:gridCol w:w="146"/>
        <w:gridCol w:w="146"/>
        <w:gridCol w:w="103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b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5</w:t>
              <w:b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w:t>
              <w:b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bills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tax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15,408,896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 (Note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10,230,724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13,098,035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666"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781"/>
        <w:gridCol w:w="146"/>
        <w:gridCol w:w="146"/>
        <w:gridCol w:w="146"/>
        <w:gridCol w:w="676"/>
        <w:gridCol w:w="146"/>
        <w:gridCol w:w="146"/>
        <w:gridCol w:w="146"/>
        <w:gridCol w:w="1036"/>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br/>
              <w:t>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5</w:t>
              <w:b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w:t>
              <w:b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bills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 excluding tax</w:t>
              <w:br/>
              <w:t>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2,746,433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 (Note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16,475,605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2,423,449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34.</w:t>
      </w:r>
    </w:p>
    <w:p>
      <w:pPr>
        <w:pStyle w:val="TextBody"/>
        <w:bidi w:val="0"/>
        <w:jc w:val="both"/>
        <w:rPr>
          <w:rFonts w:ascii="Times New Roman" w:hAnsi="Times New Roman"/>
          <w:b/>
          <w:color w:val="000000"/>
          <w:sz w:val="20"/>
        </w:rPr>
      </w:pPr>
      <w:r>
        <w:rPr>
          <w:rFonts w:ascii="Times New Roman" w:hAnsi="Times New Roman"/>
          <w:b/>
          <w:color w:val="000000"/>
          <w:sz w:val="20"/>
        </w:rPr>
        <w:t xml:space="preserve">Capital management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Group manages its capital to ensure that entities in the Group will be able to continue as a going concern while maximizing the return to shareholders through the optimization of the debt and equity balance.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reviews the capital structure on an on-going basis, considering the cost of capital, the tenure and the risks associated with each class of capital. Management makes adjustments to capital structure, in light of changes in economic conditions. To maintain or adjust the capital structure, the Group may adjust the dividend payment to shareholders, return capital to shareholders or issue new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current year, the Group changed what it manages as capital and considered the capital structure of the Group to consist of net cash and total capital as disclosed in the table below.</w:t>
      </w:r>
    </w:p>
    <w:p>
      <w:pPr>
        <w:pStyle w:val="TextBody"/>
        <w:bidi w:val="0"/>
        <w:jc w:val="both"/>
        <w:rPr/>
      </w:pPr>
      <w:r>
        <w:rPr/>
        <w:t> </w:t>
      </w:r>
    </w:p>
    <w:tbl>
      <w:tblPr>
        <w:tblW w:w="8833" w:type="dxa"/>
        <w:jc w:val="left"/>
        <w:tblInd w:w="0" w:type="dxa"/>
        <w:tblLayout w:type="fixed"/>
        <w:tblCellMar>
          <w:top w:w="28" w:type="dxa"/>
          <w:left w:w="28" w:type="dxa"/>
          <w:bottom w:w="28" w:type="dxa"/>
          <w:right w:w="28" w:type="dxa"/>
        </w:tblCellMar>
      </w:tblPr>
      <w:tblGrid>
        <w:gridCol w:w="4441"/>
        <w:gridCol w:w="146"/>
        <w:gridCol w:w="146"/>
        <w:gridCol w:w="991"/>
        <w:gridCol w:w="166"/>
        <w:gridCol w:w="146"/>
        <w:gridCol w:w="146"/>
        <w:gridCol w:w="991"/>
        <w:gridCol w:w="166"/>
        <w:gridCol w:w="146"/>
        <w:gridCol w:w="146"/>
        <w:gridCol w:w="991"/>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31.12.2025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 (current and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(851,255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attributable to equity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Fair value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Statutory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9,166,928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1,324,165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disclosed in Note 21, certain subsidiaries of the Group are required by the relevant authorities in the PRC to contribute and maintain a non-distributable statutory reserve fund whose utilization is subject to approval by the relevant authorities in the PRC. This externally imposed capital requirement has been complied with by the subsidiaries of the Group for the financial years ended December 31, 2024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 xml:space="preserve">Fair value measurement </w:t>
      </w:r>
    </w:p>
    <w:p>
      <w:pPr>
        <w:pStyle w:val="TextBody"/>
        <w:bidi w:val="0"/>
        <w:spacing w:before="120" w:after="283"/>
        <w:jc w:val="both"/>
        <w:rPr>
          <w:rFonts w:ascii="Times New Roman" w:hAnsi="Times New Roman"/>
          <w:sz w:val="20"/>
        </w:rPr>
      </w:pPr>
      <w:r>
        <w:rPr>
          <w:rFonts w:ascii="Times New Roman" w:hAnsi="Times New Roman"/>
          <w:b/>
          <w:color w:val="000000"/>
          <w:sz w:val="20"/>
        </w:rPr>
        <w:t>Quantitative disclosures fair value measurement hierarchy for assets and liabilities as of December 31, 2024:</w:t>
      </w:r>
      <w:r>
        <w:rPr>
          <w:rFonts w:ascii="Times New Roman" w:hAnsi="Times New Roman"/>
          <w:color w:val="000000"/>
          <w:sz w:val="20"/>
        </w:rPr>
        <w:t xml:space="preserve"> </w:t>
      </w:r>
    </w:p>
    <w:p>
      <w:pPr>
        <w:pStyle w:val="TextBody"/>
        <w:bidi w:val="0"/>
        <w:jc w:val="left"/>
        <w:rPr/>
      </w:pPr>
      <w:r>
        <w:rPr/>
        <w:t> </w:t>
      </w:r>
    </w:p>
    <w:tbl>
      <w:tblPr>
        <w:tblW w:w="8653" w:type="dxa"/>
        <w:jc w:val="left"/>
        <w:tblInd w:w="0" w:type="dxa"/>
        <w:tblLayout w:type="fixed"/>
        <w:tblCellMar>
          <w:top w:w="28" w:type="dxa"/>
          <w:left w:w="28" w:type="dxa"/>
          <w:bottom w:w="28" w:type="dxa"/>
          <w:right w:w="28" w:type="dxa"/>
        </w:tblCellMar>
      </w:tblPr>
      <w:tblGrid>
        <w:gridCol w:w="2581"/>
        <w:gridCol w:w="146"/>
        <w:gridCol w:w="1681"/>
        <w:gridCol w:w="146"/>
        <w:gridCol w:w="146"/>
        <w:gridCol w:w="931"/>
        <w:gridCol w:w="146"/>
        <w:gridCol w:w="146"/>
        <w:gridCol w:w="347"/>
        <w:gridCol w:w="823"/>
        <w:gridCol w:w="146"/>
        <w:gridCol w:w="146"/>
        <w:gridCol w:w="146"/>
        <w:gridCol w:w="93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observable</w:t>
              <w:br/>
              <w:t>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Debt financial assets </w:t>
            </w:r>
            <w:r>
              <w:rPr>
                <w:rFonts w:ascii="Times New Roman" w:hAnsi="Times New Roman"/>
                <w:color w:val="000000"/>
                <w:sz w:val="13"/>
              </w:rPr>
              <w:t>(i)</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4,297,376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Quantitative disclosures fair value measurement hierarchy for assets and liabilities as of December 31, 2025:</w:t>
      </w:r>
      <w:r>
        <w:rPr>
          <w:rFonts w:ascii="Times New Roman" w:hAnsi="Times New Roman"/>
          <w:color w:val="000000"/>
          <w:sz w:val="20"/>
        </w:rPr>
        <w:t xml:space="preserve"> </w:t>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2581"/>
        <w:gridCol w:w="146"/>
        <w:gridCol w:w="1681"/>
        <w:gridCol w:w="146"/>
        <w:gridCol w:w="146"/>
        <w:gridCol w:w="781"/>
        <w:gridCol w:w="146"/>
        <w:gridCol w:w="146"/>
        <w:gridCol w:w="146"/>
        <w:gridCol w:w="931"/>
        <w:gridCol w:w="146"/>
        <w:gridCol w:w="146"/>
        <w:gridCol w:w="347"/>
        <w:gridCol w:w="823"/>
        <w:gridCol w:w="146"/>
        <w:gridCol w:w="146"/>
        <w:gridCol w:w="146"/>
        <w:gridCol w:w="93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observable</w:t>
              <w:br/>
              <w:t>inputs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Debt financial assets </w:t>
            </w:r>
            <w:r>
              <w:rPr>
                <w:rFonts w:ascii="Times New Roman" w:hAnsi="Times New Roman"/>
                <w:color w:val="000000"/>
                <w:sz w:val="13"/>
              </w:rPr>
              <w:t>(i)</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4,896,955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values of the Group’s debt financial assets at fair value through OCI were measured using the discounted cash flows model. The model incorporates market observable input including the interest rate of similar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transfers between Level 1 and Level 2 during 2025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36.</w:t>
      </w:r>
    </w:p>
    <w:p>
      <w:pPr>
        <w:pStyle w:val="TextBody"/>
        <w:bidi w:val="0"/>
        <w:jc w:val="both"/>
        <w:rPr>
          <w:rFonts w:ascii="Times New Roman" w:hAnsi="Times New Roman"/>
          <w:b/>
          <w:color w:val="000000"/>
          <w:sz w:val="20"/>
        </w:rPr>
      </w:pPr>
      <w:r>
        <w:rPr>
          <w:rFonts w:ascii="Times New Roman" w:hAnsi="Times New Roman"/>
          <w:b/>
          <w:color w:val="000000"/>
          <w:sz w:val="20"/>
        </w:rPr>
        <w:t xml:space="preserve">Financial assets and financial liabilities </w:t>
      </w:r>
    </w:p>
    <w:p>
      <w:pPr>
        <w:pStyle w:val="TextBody"/>
        <w:bidi w:val="0"/>
        <w:jc w:val="left"/>
        <w:rPr/>
      </w:pPr>
      <w:r>
        <w:rPr/>
        <w:t> </w:t>
      </w:r>
    </w:p>
    <w:tbl>
      <w:tblPr>
        <w:tblW w:w="8735" w:type="dxa"/>
        <w:jc w:val="left"/>
        <w:tblInd w:w="0" w:type="dxa"/>
        <w:tblLayout w:type="fixed"/>
        <w:tblCellMar>
          <w:top w:w="28" w:type="dxa"/>
          <w:left w:w="28" w:type="dxa"/>
          <w:bottom w:w="28" w:type="dxa"/>
          <w:right w:w="28" w:type="dxa"/>
        </w:tblCellMar>
      </w:tblPr>
      <w:tblGrid>
        <w:gridCol w:w="2221"/>
        <w:gridCol w:w="146"/>
        <w:gridCol w:w="451"/>
        <w:gridCol w:w="146"/>
        <w:gridCol w:w="152"/>
        <w:gridCol w:w="1078"/>
        <w:gridCol w:w="146"/>
        <w:gridCol w:w="146"/>
        <w:gridCol w:w="146"/>
        <w:gridCol w:w="931"/>
        <w:gridCol w:w="146"/>
        <w:gridCol w:w="146"/>
        <w:gridCol w:w="150"/>
        <w:gridCol w:w="1065"/>
        <w:gridCol w:w="146"/>
        <w:gridCol w:w="146"/>
        <w:gridCol w:w="146"/>
        <w:gridCol w:w="103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br/>
              <w:t>assets at</w:t>
              <w:br/>
              <w:t>amortized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through</w:t>
              <w:br/>
              <w:t>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financial</w:t>
              <w:br/>
              <w:t>liabilities at</w:t>
              <w:br/>
              <w:t>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bills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6,433,593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15,408,896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10,402,492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12,982,296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04" w:type="dxa"/>
        <w:jc w:val="left"/>
        <w:tblInd w:w="0" w:type="dxa"/>
        <w:tblLayout w:type="fixed"/>
        <w:tblCellMar>
          <w:top w:w="28" w:type="dxa"/>
          <w:left w:w="28" w:type="dxa"/>
          <w:bottom w:w="28" w:type="dxa"/>
          <w:right w:w="28" w:type="dxa"/>
        </w:tblCellMar>
      </w:tblPr>
      <w:tblGrid>
        <w:gridCol w:w="2221"/>
        <w:gridCol w:w="146"/>
        <w:gridCol w:w="451"/>
        <w:gridCol w:w="146"/>
        <w:gridCol w:w="152"/>
        <w:gridCol w:w="1078"/>
        <w:gridCol w:w="146"/>
        <w:gridCol w:w="146"/>
        <w:gridCol w:w="146"/>
        <w:gridCol w:w="931"/>
        <w:gridCol w:w="146"/>
        <w:gridCol w:w="146"/>
        <w:gridCol w:w="150"/>
        <w:gridCol w:w="1065"/>
        <w:gridCol w:w="146"/>
        <w:gridCol w:w="146"/>
        <w:gridCol w:w="146"/>
        <w:gridCol w:w="1036"/>
        <w:gridCol w:w="146"/>
        <w:gridCol w:w="146"/>
        <w:gridCol w:w="146"/>
        <w:gridCol w:w="93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br/>
              <w:t>assets at</w:t>
              <w:br/>
              <w:t>amortized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through</w:t>
              <w:br/>
              <w:t>OCI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financial</w:t>
              <w:br/>
              <w:t>liabilities at</w:t>
              <w:br/>
              <w:t>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bills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10,878,223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1,571,362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14,116,051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2,746,433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2,407,488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36.</w:t>
      </w:r>
    </w:p>
    <w:p>
      <w:pPr>
        <w:pStyle w:val="TextBody"/>
        <w:bidi w:val="0"/>
        <w:jc w:val="both"/>
        <w:rPr>
          <w:rFonts w:ascii="Times New Roman" w:hAnsi="Times New Roman"/>
          <w:b/>
          <w:color w:val="000000"/>
          <w:sz w:val="20"/>
        </w:rPr>
      </w:pPr>
      <w:r>
        <w:rPr>
          <w:rFonts w:ascii="Times New Roman" w:hAnsi="Times New Roman"/>
          <w:b/>
          <w:color w:val="000000"/>
          <w:sz w:val="20"/>
        </w:rPr>
        <w:t>Financial assets and financial liabilities (cont’d)</w:t>
      </w:r>
    </w:p>
    <w:p>
      <w:pPr>
        <w:pStyle w:val="TextBody"/>
        <w:bidi w:val="0"/>
        <w:spacing w:before="120" w:after="283"/>
        <w:jc w:val="both"/>
        <w:rPr>
          <w:rFonts w:ascii="Times New Roman" w:hAnsi="Times New Roman"/>
          <w:sz w:val="20"/>
        </w:rPr>
      </w:pPr>
      <w:r>
        <w:rPr>
          <w:rFonts w:ascii="Times New Roman" w:hAnsi="Times New Roman"/>
          <w:b/>
          <w:color w:val="000000"/>
          <w:sz w:val="20"/>
        </w:rPr>
        <w:t>Changes in liabilities arising from financing activities</w:t>
      </w:r>
      <w:r>
        <w:rPr>
          <w:rFonts w:ascii="Times New Roman" w:hAnsi="Times New Roman"/>
          <w:color w:val="000000"/>
          <w:sz w:val="20"/>
        </w:rPr>
        <w:t xml:space="preserve"> </w:t>
      </w:r>
    </w:p>
    <w:p>
      <w:pPr>
        <w:pStyle w:val="TextBody"/>
        <w:bidi w:val="0"/>
        <w:jc w:val="left"/>
        <w:rPr/>
      </w:pPr>
      <w:r>
        <w:rPr/>
        <w:t> </w:t>
      </w:r>
    </w:p>
    <w:tbl>
      <w:tblPr>
        <w:tblW w:w="10760" w:type="dxa"/>
        <w:jc w:val="left"/>
        <w:tblInd w:w="0" w:type="dxa"/>
        <w:tblLayout w:type="fixed"/>
        <w:tblCellMar>
          <w:top w:w="28" w:type="dxa"/>
          <w:left w:w="28" w:type="dxa"/>
          <w:bottom w:w="28" w:type="dxa"/>
          <w:right w:w="28" w:type="dxa"/>
        </w:tblCellMar>
      </w:tblPr>
      <w:tblGrid>
        <w:gridCol w:w="1051"/>
        <w:gridCol w:w="146"/>
        <w:gridCol w:w="146"/>
        <w:gridCol w:w="826"/>
        <w:gridCol w:w="146"/>
        <w:gridCol w:w="146"/>
        <w:gridCol w:w="146"/>
        <w:gridCol w:w="751"/>
        <w:gridCol w:w="166"/>
        <w:gridCol w:w="146"/>
        <w:gridCol w:w="146"/>
        <w:gridCol w:w="601"/>
        <w:gridCol w:w="146"/>
        <w:gridCol w:w="146"/>
        <w:gridCol w:w="180"/>
        <w:gridCol w:w="631"/>
        <w:gridCol w:w="146"/>
        <w:gridCol w:w="146"/>
        <w:gridCol w:w="204"/>
        <w:gridCol w:w="802"/>
        <w:gridCol w:w="166"/>
        <w:gridCol w:w="146"/>
        <w:gridCol w:w="280"/>
        <w:gridCol w:w="666"/>
        <w:gridCol w:w="166"/>
        <w:gridCol w:w="146"/>
        <w:gridCol w:w="146"/>
        <w:gridCol w:w="751"/>
        <w:gridCol w:w="166"/>
        <w:gridCol w:w="146"/>
        <w:gridCol w:w="146"/>
        <w:gridCol w:w="826"/>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January 1,</w:t>
              <w:b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Cash flows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Accretion of</w:t>
              <w:b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Termination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Translation</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b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1,850,294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2,656,625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2,643,035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571" w:type="dxa"/>
        <w:jc w:val="left"/>
        <w:tblInd w:w="0" w:type="dxa"/>
        <w:tblLayout w:type="fixed"/>
        <w:tblCellMar>
          <w:top w:w="28" w:type="dxa"/>
          <w:left w:w="28" w:type="dxa"/>
          <w:bottom w:w="28" w:type="dxa"/>
          <w:right w:w="28" w:type="dxa"/>
        </w:tblCellMar>
      </w:tblPr>
      <w:tblGrid>
        <w:gridCol w:w="1051"/>
        <w:gridCol w:w="146"/>
        <w:gridCol w:w="146"/>
        <w:gridCol w:w="826"/>
        <w:gridCol w:w="146"/>
        <w:gridCol w:w="146"/>
        <w:gridCol w:w="146"/>
        <w:gridCol w:w="751"/>
        <w:gridCol w:w="166"/>
        <w:gridCol w:w="146"/>
        <w:gridCol w:w="146"/>
        <w:gridCol w:w="601"/>
        <w:gridCol w:w="146"/>
        <w:gridCol w:w="146"/>
        <w:gridCol w:w="180"/>
        <w:gridCol w:w="631"/>
        <w:gridCol w:w="146"/>
        <w:gridCol w:w="146"/>
        <w:gridCol w:w="237"/>
        <w:gridCol w:w="709"/>
        <w:gridCol w:w="166"/>
        <w:gridCol w:w="146"/>
        <w:gridCol w:w="146"/>
        <w:gridCol w:w="751"/>
        <w:gridCol w:w="166"/>
        <w:gridCol w:w="146"/>
        <w:gridCol w:w="146"/>
        <w:gridCol w:w="826"/>
        <w:gridCol w:w="146"/>
        <w:gridCol w:w="146"/>
        <w:gridCol w:w="146"/>
        <w:gridCol w:w="69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January 1,</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Cash flows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Accretion of</w:t>
              <w:b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Translation</w:t>
              <w:br/>
              <w:t>reserve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b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RMB’000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US$’000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288,903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financial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Total liabilities from </w:t>
              <w:br/>
              <w:t>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2,643,035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(534,574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2,170,772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313,568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‘Others’ column includes the effect of reclassification of non-current portion of loans and borrowings, including obligations under lease liabilities due to the passage of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both"/>
        <w:rPr>
          <w:rFonts w:ascii="Times New Roman" w:hAnsi="Times New Roman"/>
          <w:sz w:val="20"/>
        </w:rPr>
      </w:pPr>
      <w:r>
        <w:rPr>
          <w:rFonts w:ascii="Times New Roman" w:hAnsi="Times New Roman"/>
          <w:b/>
          <w:color w:val="000000"/>
          <w:sz w:val="20"/>
        </w:rPr>
        <w:t>China Yuchai International Limited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27, 2026, the Company announced that its indirect subsidiary, MGP, has filed an application with The Stock Exchange of Hong Kong Limited (the “Hong Kong Stock Exchange” or “HKEX”) in connection with a proposed listing (the “Potential Listing”) of MGP’s shares on the Main Board of the Hong Kong Stock Exchange. The Potential Listing is subject to review and approval by the HKEX and other relevant regulatory authorities and market conditions. There is no assurance as to whether or when the Potential Listing will take place.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31, 2026, the Group obtained control over NYDK upon approval of the updated Articles of Association and appointment of majority of the directors on NYDK’s board, in addition to the signed concerted action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8" w:name="ck0000932695-ex8_1.htm"/>
      <w:bookmarkStart w:id="49" w:name="ksck0000932695ex8_1"/>
      <w:bookmarkEnd w:id="48"/>
      <w:bookmarkEnd w:id="49"/>
      <w:r>
        <w:rPr>
          <w:rFonts w:ascii="Times New Roman" w:hAnsi="Times New Roman"/>
          <w:b/>
          <w:color w:val="000000"/>
          <w:sz w:val="20"/>
        </w:rPr>
        <w:t>Exhibit 8.1</w:t>
      </w:r>
      <w:r>
        <w:rPr>
          <w:rFonts w:ascii="Times New Roman" w:hAnsi="Times New Roman"/>
          <w:color w:val="000000"/>
          <w:sz w:val="20"/>
        </w:rPr>
        <w:t xml:space="preserve"> </w:t>
      </w:r>
      <w:r>
        <w:br w:type="page"/>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particulars of the Company’s subsidiaries as of December 31, 2025 are set forth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19"/>
        <w:gridCol w:w="146"/>
        <w:gridCol w:w="1266"/>
        <w:gridCol w:w="146"/>
        <w:gridCol w:w="600"/>
        <w:gridCol w:w="146"/>
        <w:gridCol w:w="782"/>
      </w:tblGrid>
      <w:tr>
        <w:trPr/>
        <w:tc>
          <w:tcPr>
            <w:tcW w:w="7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7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2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Attributable</w:t>
              <w:br/>
              <w:t>equity interests</w:t>
            </w:r>
            <w:r>
              <w:rPr>
                <w:rFonts w:ascii="Times New Roman" w:hAnsi="Times New Roman"/>
                <w:color w:val="000000"/>
                <w:sz w:val="16"/>
              </w:rPr>
              <w:t xml:space="preserve"> </w:t>
            </w:r>
          </w:p>
        </w:tc>
      </w:tr>
      <w:tr>
        <w:trPr/>
        <w:tc>
          <w:tcPr>
            <w:tcW w:w="7119"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Name of company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Jurisdiction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Direct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Indirect</w:t>
            </w:r>
            <w:r>
              <w:rPr>
                <w:rFonts w:ascii="Times New Roman" w:hAnsi="Times New Roman"/>
                <w:color w:val="000000"/>
                <w:sz w:val="16"/>
              </w:rPr>
              <w:t xml:space="preserve"> </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Machinery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People’s Republic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China (“PRC”)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Foundry Company Limited (Formerly known as Guangxi Yuchai Accessories Manufacturing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Exhaust Technology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Mould Equipment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Precision Mould Technology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48.8%</w:t>
            </w:r>
            <w:r>
              <w:rPr>
                <w:rFonts w:ascii="Times New Roman" w:hAnsi="Times New Roman"/>
                <w:color w:val="000000"/>
                <w:sz w:val="11"/>
              </w:rPr>
              <w:t>(1)</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Machinery Sales and Marketing Development Co.,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Jining Yuchai Engine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Hangzhou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Nanchang Yuchai Marketing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Xiamen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Urumqi Yuchai Machinery Monopoly Company Limited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Xian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Hefei Yuchai Machinery Monopoly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Shijiazhuang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Jinan Yuchai Machinery Monopoly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Chongqing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Nanjing Yuchai Automobile Service Co., Ltd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Wuhan Yuchai Machinery Monopoly Development Co.,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Crankshaft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Yulin Hotel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Shang Lin Food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Yuchai Simlan Technology Co., Ltd. (Formerly known as Yuchai Xin-Lan New Energy Power Technology Co., Ltd.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67.0%</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Yuchai Cynland (Jiangsu) Hyentech Co., Ltd. (Formerly known as Yuchai Xin-Lan (Jiangsu) Hydrogen Energy Technology Co., Ltd. and Jiangsu UniTrump Power Technology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67.0%</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Marine and Genset Power Co.,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16"/>
              </w:rPr>
              <w:t>71.8%</w:t>
            </w:r>
            <w:r>
              <w:rPr>
                <w:rFonts w:ascii="Times New Roman" w:hAnsi="Times New Roman"/>
                <w:color w:val="000000"/>
                <w:sz w:val="11"/>
              </w:rPr>
              <w:t>(2)</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Guangxi Yuchai Marine and Genset Power Solutions Co., Ltd.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53.9%</w:t>
            </w:r>
            <w:r>
              <w:rPr>
                <w:rFonts w:ascii="Times New Roman" w:hAnsi="Times New Roman"/>
                <w:color w:val="000000"/>
                <w:sz w:val="11"/>
              </w:rPr>
              <w:t>(3)</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Yuchai Deyou Engine Systems Co.,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71.8%</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Yuchai Power System (Thailand)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Thailand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76.4%</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Guangxi SKY Cloud Technology Co., Ltd. (Formerly known as Guangxi Xing Yun Cloud Technology Co.,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62.8%</w:t>
            </w:r>
            <w:r>
              <w:rPr>
                <w:rFonts w:ascii="Times New Roman" w:hAnsi="Times New Roman"/>
                <w:color w:val="000000"/>
                <w:sz w:val="11"/>
              </w:rPr>
              <w:t>(4)</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Guangxi Yulin SKY Cloud Technology Co., Ltd.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6"/>
              </w:rPr>
              <w:t>62.8%</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Guangzhou Tongju Commerce and Trade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Hunan Yuchai Machinery Industry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Shenyang Yuchai Marketing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Lanzhou Yuchai Marketing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Beijing Jingdu Yuchai Trade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Baotou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Taiyuan Yuchai Machinery Monopoly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Guiyang Yuchai Machinery Monopoly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Zhengzhou Yuchai Marketing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Hainan Yuchai Marketing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Harbin Yuchai Marketing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Sichuan Yuchai Machinery Industry Company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Yunnan Yuchai Machinery Industry Company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Yulin Yuchai Machinery Industry Development Co.,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YC Europe 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Hong Kong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57.3%</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YC-Europe GmbH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Germany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57.3%</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Grace Star Services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British Virgin Islands</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Venture Delta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Hong Leong Technology Systems (BVI)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Cathay Diesel Holdings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Cayman Islands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Goldman Sachs Guangxi Holdings (BVI)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Tsang &amp; Ong Nominees (BVI) Ltd.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Youngstar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Earnest Assets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Constellation Star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HL Global Enterprises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Singapore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49.1%</w:t>
            </w:r>
            <w:r>
              <w:rPr>
                <w:rFonts w:ascii="Times New Roman" w:hAnsi="Times New Roman"/>
                <w:color w:val="000000"/>
                <w:sz w:val="11"/>
              </w:rPr>
              <w:t>(5)</w:t>
            </w:r>
            <w:r>
              <w:rPr>
                <w:rFonts w:ascii="Times New Roman" w:hAnsi="Times New Roman"/>
                <w:color w:val="000000"/>
                <w:sz w:val="16"/>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6" w:space="1" w:color="000000"/>
        </w:pBdr>
        <w:bidi w:val="0"/>
        <w:spacing w:before="4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Guangxi Yuchai Precision Mould Technology Co., Ltd. was established in October 2025 by Guangxi Yuchai Mould Equipment Company Limited with Liuzhou Bohao Machinery Co., Ltd. primarily engaging in the production of stamping die and stamping vehicle components for new energy vehicles.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2025, Yuchai’s interest in Guangxi Yuchai Marine and Genset Power Co., Ltd. (“MGP”) increased by 0.55% following the acquisition of a Partnership Interest from a participant who withdrew from the Yuchai Equity Scheme, such that the Company’s effective interest in MGP increased from 71.4% to 71.8% as at December 31, 2025. The ownership of the acquired Partnership Interest remains subject to the terms of the Yuchai Equity Scheme.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Guangxi Yuchai Marine and Genset Power Solutions Co., Ltd. (“MGPS”) established in July 2025 by MGP for the manufacturing and sale of generator engines and generator sets, as well as general equipment manufacturing and related technical and engineering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Yuchai reduced its equity interest in Guangxi SKY Cloud Technology Co., Ltd. (“Sky Cloud”) from 100% to 82.24% following the implementation of the Sky Cloud Equity Plan, our Company’s equity interest in Sky Cloud reduced from 76.4% to 62.8%.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consolidate HLGE as a subsidiary, we are able to govern the financial and operating policies of HLGE. As of February 27, 2026, our shareholding interest in HLGE was 49.1%.</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Suzhou Yuchai Machinery Monopoly Company Limited, a 54.9% indirectly owned subsidiary of the Company was dissolved in October 2025.</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0" w:name="ck0000932695-ex12_1.htm"/>
      <w:bookmarkStart w:id="51" w:name="ksck0000932695ex12_1"/>
      <w:bookmarkEnd w:id="50"/>
      <w:bookmarkEnd w:id="51"/>
      <w:r>
        <w:rPr>
          <w:rFonts w:ascii="Times New Roman" w:hAnsi="Times New Roman"/>
          <w:b/>
          <w:color w:val="000000"/>
          <w:sz w:val="20"/>
        </w:rPr>
        <w:t>Exhibit 12.1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CHIEF EXECUTIVE OFFICER PURSUANT </w:t>
      </w:r>
    </w:p>
    <w:p>
      <w:pPr>
        <w:pStyle w:val="TextBody"/>
        <w:bidi w:val="0"/>
        <w:jc w:val="center"/>
        <w:rPr>
          <w:rFonts w:ascii="Times New Roman" w:hAnsi="Times New Roman"/>
          <w:color w:val="000000"/>
          <w:sz w:val="20"/>
        </w:rPr>
      </w:pPr>
      <w:r>
        <w:rPr>
          <w:rFonts w:ascii="Times New Roman" w:hAnsi="Times New Roman"/>
          <w:color w:val="000000"/>
          <w:sz w:val="20"/>
        </w:rPr>
        <w:t xml:space="preserve">TO SECTION 302 OF THE SARBANES-OXLEY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Hoh Weng Ming,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annual report on Form 20-F of China Yuchai International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company’s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Date: April 29, 2026 </w:t>
      </w:r>
    </w:p>
    <w:p>
      <w:pPr>
        <w:pStyle w:val="TextBody"/>
        <w:bidi w:val="0"/>
        <w:jc w:val="left"/>
        <w:rPr/>
      </w:pPr>
      <w:r>
        <w:rPr/>
        <w:t> </w:t>
      </w:r>
    </w:p>
    <w:tbl>
      <w:tblPr>
        <w:tblW w:w="2867" w:type="dxa"/>
        <w:jc w:val="left"/>
        <w:tblInd w:w="0" w:type="dxa"/>
        <w:tblLayout w:type="fixed"/>
        <w:tblCellMar>
          <w:top w:w="28" w:type="dxa"/>
          <w:left w:w="28" w:type="dxa"/>
          <w:bottom w:w="28" w:type="dxa"/>
          <w:right w:w="28" w:type="dxa"/>
        </w:tblCellMar>
      </w:tblPr>
      <w:tblGrid>
        <w:gridCol w:w="421"/>
        <w:gridCol w:w="2446"/>
      </w:tblGrid>
      <w:tr>
        <w:trPr/>
        <w:tc>
          <w:tcPr>
            <w:tcW w:w="42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Hoh Weng Ming</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Hoh Weng Ming</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Director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2" w:name="ck0000932695-ex12_2.htm"/>
      <w:bookmarkStart w:id="53" w:name="ksck0000932695ex12_2"/>
      <w:bookmarkEnd w:id="52"/>
      <w:bookmarkEnd w:id="53"/>
      <w:r>
        <w:rPr>
          <w:rFonts w:ascii="Times New Roman" w:hAnsi="Times New Roman"/>
          <w:b/>
          <w:color w:val="000000"/>
          <w:sz w:val="20"/>
        </w:rPr>
        <w:t>Exhibit 12.2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CHIEF FINANCIAL OFFICER PURSUANT </w:t>
      </w:r>
    </w:p>
    <w:p>
      <w:pPr>
        <w:pStyle w:val="TextBody"/>
        <w:bidi w:val="0"/>
        <w:jc w:val="center"/>
        <w:rPr>
          <w:rFonts w:ascii="Times New Roman" w:hAnsi="Times New Roman"/>
          <w:color w:val="000000"/>
          <w:sz w:val="20"/>
        </w:rPr>
      </w:pPr>
      <w:r>
        <w:rPr>
          <w:rFonts w:ascii="Times New Roman" w:hAnsi="Times New Roman"/>
          <w:color w:val="000000"/>
          <w:sz w:val="20"/>
        </w:rPr>
        <w:t xml:space="preserve">TO SECTION 302 OF THE SARBANES-OXLEY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Loo Choon Sen,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annual report on Form 20-F of China Yuchai International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company’s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Date: April 29, 2026 </w:t>
      </w:r>
    </w:p>
    <w:p>
      <w:pPr>
        <w:pStyle w:val="TextBody"/>
        <w:bidi w:val="0"/>
        <w:jc w:val="left"/>
        <w:rPr/>
      </w:pPr>
      <w:r>
        <w:rPr/>
        <w:t> </w:t>
      </w:r>
    </w:p>
    <w:tbl>
      <w:tblPr>
        <w:tblW w:w="2927" w:type="dxa"/>
        <w:jc w:val="left"/>
        <w:tblInd w:w="0" w:type="dxa"/>
        <w:tblLayout w:type="fixed"/>
        <w:tblCellMar>
          <w:top w:w="28" w:type="dxa"/>
          <w:left w:w="28" w:type="dxa"/>
          <w:bottom w:w="28" w:type="dxa"/>
          <w:right w:w="28" w:type="dxa"/>
        </w:tblCellMar>
      </w:tblPr>
      <w:tblGrid>
        <w:gridCol w:w="421"/>
        <w:gridCol w:w="2506"/>
      </w:tblGrid>
      <w:tr>
        <w:trPr/>
        <w:tc>
          <w:tcPr>
            <w:tcW w:w="4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Loo Choon 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Loo Choon 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4" w:name="ck0000932695-ex13_1.htm"/>
      <w:bookmarkStart w:id="55" w:name="ksck0000932695ex13_1"/>
      <w:bookmarkEnd w:id="54"/>
      <w:bookmarkEnd w:id="55"/>
      <w:r>
        <w:rPr>
          <w:rFonts w:ascii="Times New Roman" w:hAnsi="Times New Roman"/>
          <w:b/>
          <w:color w:val="000000"/>
          <w:sz w:val="20"/>
        </w:rPr>
        <w:t>Exhibit 13.1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CHIEF EXECUTIVE OFFICER PURSUANT </w:t>
      </w:r>
    </w:p>
    <w:p>
      <w:pPr>
        <w:pStyle w:val="TextBody"/>
        <w:bidi w:val="0"/>
        <w:jc w:val="center"/>
        <w:rPr>
          <w:rFonts w:ascii="Times New Roman" w:hAnsi="Times New Roman"/>
          <w:color w:val="000000"/>
          <w:sz w:val="20"/>
        </w:rPr>
      </w:pPr>
      <w:r>
        <w:rPr>
          <w:rFonts w:ascii="Times New Roman" w:hAnsi="Times New Roman"/>
          <w:color w:val="000000"/>
          <w:sz w:val="20"/>
        </w:rPr>
        <w:t xml:space="preserve">TO SECTION 906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18 U.S.C. 1350, as created by Section 906 of the Sarbanes-Oxley Act of 2002, the undersigned officer of China Yuchai International Limited (the “Company”) hereby certifies,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accompanying Annual Report on Form 20-F of the Company for the year ended December 31, 2025 (the “Report”) fully complies with the requirements of Section 13(a) or Section 15(d), as applicable,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p>
      <w:pPr>
        <w:pStyle w:val="TextBody"/>
        <w:bidi w:val="0"/>
        <w:jc w:val="left"/>
        <w:rPr/>
      </w:pPr>
      <w:r>
        <w:rPr/>
        <w:t> </w:t>
      </w:r>
    </w:p>
    <w:tbl>
      <w:tblPr>
        <w:tblW w:w="2867" w:type="dxa"/>
        <w:jc w:val="left"/>
        <w:tblInd w:w="0" w:type="dxa"/>
        <w:tblLayout w:type="fixed"/>
        <w:tblCellMar>
          <w:top w:w="28" w:type="dxa"/>
          <w:left w:w="28" w:type="dxa"/>
          <w:bottom w:w="28" w:type="dxa"/>
          <w:right w:w="28" w:type="dxa"/>
        </w:tblCellMar>
      </w:tblPr>
      <w:tblGrid>
        <w:gridCol w:w="421"/>
        <w:gridCol w:w="2446"/>
      </w:tblGrid>
      <w:tr>
        <w:trPr/>
        <w:tc>
          <w:tcPr>
            <w:tcW w:w="42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Hoh Weng Ming</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Hoh Weng Ming</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Director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Date: April 29,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1350, and is not being filed for the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6" w:name="ck0000932695-ex13_2.htm"/>
      <w:bookmarkStart w:id="57" w:name="ksck0000932695ex13_2"/>
      <w:bookmarkEnd w:id="56"/>
      <w:bookmarkEnd w:id="57"/>
      <w:r>
        <w:rPr>
          <w:rFonts w:ascii="Times New Roman" w:hAnsi="Times New Roman"/>
          <w:b/>
          <w:color w:val="000000"/>
          <w:sz w:val="20"/>
        </w:rPr>
        <w:t>Exhibit 13.2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CHIEF FINANCIAL OFFICER PURSUANT </w:t>
      </w:r>
    </w:p>
    <w:p>
      <w:pPr>
        <w:pStyle w:val="TextBody"/>
        <w:bidi w:val="0"/>
        <w:jc w:val="center"/>
        <w:rPr>
          <w:rFonts w:ascii="Times New Roman" w:hAnsi="Times New Roman"/>
          <w:color w:val="000000"/>
          <w:sz w:val="20"/>
        </w:rPr>
      </w:pPr>
      <w:r>
        <w:rPr>
          <w:rFonts w:ascii="Times New Roman" w:hAnsi="Times New Roman"/>
          <w:color w:val="000000"/>
          <w:sz w:val="20"/>
        </w:rPr>
        <w:t xml:space="preserve">TO SECTION 906 OF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18 U.S.C. 1350, as created by Section 906 of the Sarbanes-Oxley Act of 2002, the undersigned officer of China Yuchai International Limited (the “Company”) hereby certifies,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accompanying Annual Report on Form 20-F of the Company for the year ended December 31, 2025 (the “Report”) fully complies with the requirements of Section 13(a) or Section 15(d), as applicable,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p>
      <w:pPr>
        <w:pStyle w:val="TextBody"/>
        <w:bidi w:val="0"/>
        <w:jc w:val="left"/>
        <w:rPr/>
      </w:pPr>
      <w:r>
        <w:rPr/>
        <w:t> </w:t>
      </w:r>
    </w:p>
    <w:tbl>
      <w:tblPr>
        <w:tblW w:w="2927" w:type="dxa"/>
        <w:jc w:val="left"/>
        <w:tblInd w:w="0" w:type="dxa"/>
        <w:tblLayout w:type="fixed"/>
        <w:tblCellMar>
          <w:top w:w="28" w:type="dxa"/>
          <w:left w:w="28" w:type="dxa"/>
          <w:bottom w:w="28" w:type="dxa"/>
          <w:right w:w="28" w:type="dxa"/>
        </w:tblCellMar>
      </w:tblPr>
      <w:tblGrid>
        <w:gridCol w:w="421"/>
        <w:gridCol w:w="2506"/>
      </w:tblGrid>
      <w:tr>
        <w:trPr/>
        <w:tc>
          <w:tcPr>
            <w:tcW w:w="4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Loo Choon 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Loo Choon Sen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29,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1350, and is not being filed for the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pPr>
      <w:bookmarkStart w:id="58" w:name="ck0000932695-ex15_1.htm"/>
      <w:bookmarkStart w:id="59" w:name="ksck0000932695ex15_1"/>
      <w:bookmarkEnd w:id="58"/>
      <w:bookmarkEnd w:id="59"/>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15.1</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(Form S-8 No. 333-288555) pertaining to the 2025 Equity Incentive Plan of China Yuchai International Limited of our reports dated April 29, 2026, with respect to the consolidated financial statements of China Yuchai International Limited, and the effectiveness of internal control over financial reporting of China Yuchai International Limited included in this Annual Report (Form 20-F) for the year ended December 31, 2025.</w:t>
      </w:r>
    </w:p>
    <w:p>
      <w:pPr>
        <w:pStyle w:val="TextBody"/>
        <w:bidi w:val="0"/>
        <w:spacing w:before="0" w:after="16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jc w:val="both"/>
        <w:rPr>
          <w:rFonts w:ascii="Times New Roman" w:hAnsi="Times New Roman"/>
          <w:color w:val="000000"/>
          <w:sz w:val="20"/>
        </w:rPr>
      </w:pPr>
      <w:r>
        <w:rPr>
          <w:rFonts w:ascii="Times New Roman" w:hAnsi="Times New Roman"/>
          <w:color w:val="000000"/>
          <w:sz w:val="20"/>
        </w:rPr>
        <w:t xml:space="preserve">Singapore </w:t>
      </w:r>
    </w:p>
    <w:p>
      <w:pPr>
        <w:pStyle w:val="TextBody"/>
        <w:bidi w:val="0"/>
        <w:jc w:val="both"/>
        <w:rPr>
          <w:rFonts w:ascii="Times New Roman" w:hAnsi="Times New Roman"/>
          <w:color w:val="000000"/>
          <w:sz w:val="20"/>
        </w:rPr>
      </w:pPr>
      <w:r>
        <w:rPr>
          <w:rFonts w:ascii="Times New Roman" w:hAnsi="Times New Roman"/>
          <w:color w:val="000000"/>
          <w:sz w:val="20"/>
        </w:rPr>
        <w:t>April 29,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32695/000119312524116234/d757705dex47.htm" TargetMode="External"/><Relationship Id="rId4" Type="http://schemas.openxmlformats.org/officeDocument/2006/relationships/hyperlink" Target="https://www.sec.gov/Archives/edgar/data/932695/000114554904000841/u92349exv4w11.htm" TargetMode="External"/><Relationship Id="rId5" Type="http://schemas.openxmlformats.org/officeDocument/2006/relationships/hyperlink" Target="https://www.sec.gov/Archives/edgar/data/932695/000114554905000520/u92512exv1w1.txt" TargetMode="External"/><Relationship Id="rId6" Type="http://schemas.openxmlformats.org/officeDocument/2006/relationships/hyperlink" Target="https://www.sec.gov/Archives/edgar/data/932695/000114554905002042/u92665exv1w1.txt" TargetMode="External"/><Relationship Id="rId7" Type="http://schemas.openxmlformats.org/officeDocument/2006/relationships/hyperlink" Target="https://www.sec.gov/Archives/edgar/data/932695/000114554906001662/u92891exv99w1.htm" TargetMode="External"/><Relationship Id="rId8" Type="http://schemas.openxmlformats.org/officeDocument/2006/relationships/hyperlink" Target="https://www.sec.gov/Archives/edgar/data/932695/000114554907001213/u93066exv99w1.htm" TargetMode="External"/><Relationship Id="rId9" Type="http://schemas.openxmlformats.org/officeDocument/2006/relationships/hyperlink" Target="https://www.sec.gov/Archives/edgar/data/932695/000119312514262460/d753676dex991.htm" TargetMode="External"/><Relationship Id="rId10" Type="http://schemas.openxmlformats.org/officeDocument/2006/relationships/hyperlink" Target="https://www.sec.gov/Archives/edgar/data/932695/000095017025058324/ck0000932695-ex11_1.htm" TargetMode="External"/><Relationship Id="rId11" Type="http://schemas.openxmlformats.org/officeDocument/2006/relationships/hyperlink" Target="https://www.sec.gov/Archives/edgar/data/932695/000119312524116234/d757705dex971.htm" TargetMode="External"/><Relationship Id="rId12" Type="http://schemas.openxmlformats.org/officeDocument/2006/relationships/hyperlink" Target="https://www.sec.gov/Archives/edgar/data/932695/000119312524116234/d757705dex47.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101868</Words>
  <Characters>565680</Characters>
  <CharactersWithSpaces>675619</CharactersWithSpaces>
  <Paragraphs>25376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